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Autospacing="0" w:afterAutospacing="0" w:line="450" w:lineRule="atLeast"/>
        <w:jc w:val="center"/>
        <w:rPr>
          <w:rFonts w:hint="default" w:ascii="微软雅黑" w:hAnsi="微软雅黑" w:eastAsia="微软雅黑" w:cs="微软雅黑"/>
          <w:color w:val="2B73BF"/>
          <w:sz w:val="30"/>
          <w:szCs w:val="30"/>
        </w:rPr>
      </w:pPr>
      <w:bookmarkStart w:id="0" w:name="_GoBack"/>
      <w:bookmarkEnd w:id="0"/>
      <w:r>
        <w:rPr>
          <w:rFonts w:ascii="微软雅黑" w:hAnsi="微软雅黑" w:eastAsia="微软雅黑" w:cs="微软雅黑"/>
          <w:color w:val="2B73BF"/>
          <w:sz w:val="30"/>
          <w:szCs w:val="30"/>
        </w:rPr>
        <w:t>辽宁省2022年普通高等学校专升本招生考试报名</w:t>
      </w: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辽宁省2022年普通高等教育专科层次起点升本科教育（以下简称专升本）招生考试报名采用网上填报基本信息、网上缴费、现场资格审查和身份验证信息采集相结合的方式。专升本招生考试报名即将开始，为便于考生完成好专升本报名，现将有关事项说明如下：</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一、招生对象及报考条件</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（一）招生对象</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000000"/>
          <w:sz w:val="21"/>
          <w:szCs w:val="21"/>
          <w:shd w:val="clear" w:color="auto" w:fill="FFFFFF"/>
        </w:rPr>
        <w:t>拥护中国共产党的领导，热爱祖国，品德良好，遵纪守法，身体健康状况符合普通高校招生体检要求，并符合下列条件之一的人员可以报考：</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1.经我省域内高等职业院校招生，并列入国家招生计划已参加全国普通高校统一招生考试的专科层次应、往届合格毕业生和参加我省组织的中职升高职统一招生考试的专科层次应、往届合格毕业生，以及经批准参加高职院校单独招生考试改革试点、注册入学试点、订单式培养、紧缺人才培养、一村一名大学生等单招试点的专科层次应、往届合格毕业生。</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2.我省继续实施“建档立卡贫困家庭高职（专科）毕业生专升本专项计划”，专项用于招收本地原建档立卡贫困家庭高职（专科）毕业生，单独组织录取。报考“建档立卡贫困家庭毕业生专升本专项计划”的考生（以下简称“建档立卡考生”），应是我省高校普通高职（专科）毕业，且经辽宁省省级扶贫机构登记在册的建档立卡贫困家庭学生。</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3.</w:t>
      </w:r>
      <w:r>
        <w:rPr>
          <w:rFonts w:hint="eastAsia" w:ascii="微软雅黑" w:hAnsi="微软雅黑" w:eastAsia="微软雅黑" w:cs="微软雅黑"/>
          <w:color w:val="000000"/>
          <w:sz w:val="21"/>
          <w:szCs w:val="21"/>
        </w:rPr>
        <w:t>从2022年起，普通高职（专科）毕业生及在校生（含高校新生）应征入伍，退役后完成高职（专科）学业的，可申请退役大学生士兵免试专升本招生。</w:t>
      </w:r>
      <w:r>
        <w:rPr>
          <w:rFonts w:hint="eastAsia" w:ascii="微软雅黑" w:hAnsi="微软雅黑" w:eastAsia="微软雅黑" w:cs="微软雅黑"/>
          <w:color w:val="333333"/>
          <w:sz w:val="21"/>
          <w:szCs w:val="21"/>
        </w:rPr>
        <w:t>原则上符合条件的退役士兵在应征入伍地报名。退役大学生士兵考生免于参加文化课考试，须参加有关院校组织的专业技能考核，技能考核结果作为招生院校择优录取的依据。为有利于学生顺利完成本科学业，鼓励退役大学生士兵考生报考的本科专业与就读的高职（专科）专业大体对应。</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4.报考内蒙古民族大学（蒙语授课）专升本考生应是我省普通高校具有蒙语文基础的蒙古族（达斡尔、鄂温克、鄂伦春）应届专科毕业生。报考的本科专业应与就读的高职（专科）专业对应。</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（二）下列人员不得报考</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1.在高职高专教育阶段非应届毕业年份以弄虚作假手段报名并违规参加2021年职业教育对口升学招生考试的应届毕业生。</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2.因违反国家教育考试规定,被给予暂停参加普通高校专升本招生考试处理且在停考期内的人员。</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3.因触犯刑法已被有关部门采取强制措施或正在服刑者。</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4.不符合报考条件的其他人员。</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二、报名办法</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（一）报名时间</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实行网上报名。网上填报基本信息、网上缴费的时间为2021年12月16日至12月23日，现场资格审查和身份验证信息采集的时间为2021年12月17日至12月23日,逾期不予受理。各市须于2021年12月23日16:00时前完成考生的报名最终确认工作。</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（二）报名程序</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1.考生报名基本流程为：考生网上填报基本信息（网址为：https://dkwb.lnzsks.com)→网上缴费→现场资格审查和身份验证信息采集→各市招考办对考生报名进行最终确认。</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2.现场确认与资格审核：</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①符合报名条件的考生在完成网上填报基本信息进行网上支付缴费后，持学生证、毕业证书（往届生）、有效居民身份证在规定时间到本人学校所在地的市招考办指定报名点进行资格审查和身份验证信息采集；然后使用网上报名系统管理端下载打印《辽宁省2022年普通高等学校专升本考试考生报名登记表》交由考生本人核对并签名确认；最后各市招考办对考生报名信息进行最终确认。《辽宁省2022年普通高等学校专升本考试考生报名登记表》由市招考办留存。</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②退役大学生士兵资格审核认定工作由安置地退役军人事务部门和市招考办负责。安置地退役军人事务部门负责退役大学生士兵的身份认证，市招考办负责退役大学生士兵学籍学历和报考条件的审核。</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退役大学生士兵身份认证程序：持身份证、退役士兵证、《辽宁省退役大学生士兵身份认证登记表》（登录辽宁招生考试之窗网站https://dkwb.lnzsks.com下载表格）到安置地退役军人事务部门进行身份认证。</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退役大学生士兵在完成网上填报基本信息、网上支付缴费等报名环节后，持身份证、学生证、毕业证书（往届生）、入伍通知书、退役士兵证及复印件、《辽宁省退役大学生士兵身份认证登记表》（经安置地退役军人事务部门签字盖章认定），到本人学校所在地的市招考办指定报名点进行资格审查和身份验证信息采集；外省普通高职院校毕业，在我省应征入伍的退役大学生士兵到本人入伍所在地的市招考办指定报名点进行资格审查和身份验证信息采集。      </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退役士兵证（复印件）、《辽宁省退役大学生士兵身份认证登记表》等相关材料由市招考办留存。报名结束后，市招考办汇总退役大学生士兵合格名单报省招考办。</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③建档立卡贫困家庭高职（专科）毕业生的资格审核认定由辽宁省扶贫开发领导小组办公室负责。报名工作结束后，省招考办根据考生报名信息，将专升本建档立卡贫困家庭高职（专科）毕业生名单提供给辽宁省扶贫开发领导小组办公室进行资格审核认定。</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（三）考生必须符合专升本考试招生报名条件，保证自己填报的信息准确无误，因个人原因漏填、误填或弄虚作假和违反相关报名规定，造成的一切后果由考生本人负责。</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（四）考生不按时完成网上填报基本信息、网上缴费、现场资格审查和身份验证信息采集的均视为放弃专升本报名。</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(五)考生报名须缴纳报名考试费120元。网上已经缴费的考生，在现场资格审查确认时未取得报名资格，经考生本人申请予以退费。</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三、体检</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体检工作在新生录取后由招生学校根据实际需要自行组织实施。组织体检的招生学校，体检标准按教育部、卫生部、中国残疾人联合会印发的《普通高等学校招生体检工作指导意见》执行。</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000000"/>
          <w:sz w:val="21"/>
          <w:szCs w:val="21"/>
        </w:rPr>
        <w:t>四、疫情防控</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1.各市要严格落实《教育部办公厅 国家卫生健康委办公厅关于印发&lt;新冠肺炎疫情防控常态化下国家教育考试组考防疫工作指导意见&gt;的通知》（教学厅〔2020〕8号）以及我省相关防疫工作要求，结合本地疫情防控实际，会同卫生健康部门、疾控机构及其他有关部门，因地制宜科学制定报名防疫工作方案和应急预案，做好专升本考试招生报名疫情防控及突发事件处置工作。</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2.考生须及时关注本人报名所在地的疫情防控要求，按相关要求做好疫情自查和防控措施，并在报名点服从工作人员的疫情检查和管理。</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3.考生不得隐瞒本人健康状况和旅居行程，对于刻意隐瞒病情或者不如实报告发热史、旅行史和接触史的考生，以及在报名疫情防控中拒不配合的人员，造成疫情传播或其他严重后果的，将承担相应法律责任。</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五、其他</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1.特别提醒考生：考生报名前应仔细阅读报名条件和相关规定。真实、完整、准确地填报个人信息，考生本人应对信息的真实性负责，因个人原因漏填、错填、误填或弄虚作假提供虚假信息和材料及违反相关规定的，造成的一切后果由考生本人负责。</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2.残疾考生参加专升本考试参照《教育部 中国残疾人联合会关于印发&lt;残疾人参加普通高等学校招生全国统一考试管理规定&gt;的通知》（教学</w:t>
      </w:r>
      <w:r>
        <w:rPr>
          <w:rFonts w:hint="eastAsia" w:ascii="微软雅黑" w:hAnsi="微软雅黑" w:eastAsia="微软雅黑" w:cs="微软雅黑"/>
          <w:color w:val="101010"/>
          <w:sz w:val="21"/>
          <w:szCs w:val="21"/>
        </w:rPr>
        <w:t>〔2017〕</w:t>
      </w:r>
      <w:r>
        <w:rPr>
          <w:rFonts w:hint="eastAsia" w:ascii="微软雅黑" w:hAnsi="微软雅黑" w:eastAsia="微软雅黑" w:cs="微软雅黑"/>
          <w:color w:val="333333"/>
          <w:sz w:val="21"/>
          <w:szCs w:val="21"/>
        </w:rPr>
        <w:t>4号）执行。需在考试中提供合理便利条件的考生，请于2022年3月20日前到报名所在地市招考办提出申请。</w:t>
      </w: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附件：报名流程</w:t>
      </w: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p>
    <w:p>
      <w:pPr>
        <w:pStyle w:val="6"/>
        <w:widowControl/>
        <w:spacing w:beforeAutospacing="0" w:afterAutospacing="0"/>
        <w:ind w:firstLine="420"/>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t>2022年我省专升本考生报名将采用</w:t>
      </w:r>
      <w:r>
        <w:rPr>
          <w:rFonts w:hint="eastAsia" w:ascii="微软雅黑" w:hAnsi="微软雅黑" w:eastAsia="微软雅黑" w:cs="微软雅黑"/>
          <w:color w:val="000000"/>
          <w:sz w:val="21"/>
          <w:szCs w:val="21"/>
        </w:rPr>
        <w:t>网上填报基本信息、网上缴费、现场资格审查和身份验证信息采集</w:t>
      </w:r>
      <w:r>
        <w:rPr>
          <w:rFonts w:hint="eastAsia" w:ascii="微软雅黑" w:hAnsi="微软雅黑" w:eastAsia="微软雅黑" w:cs="微软雅黑"/>
          <w:color w:val="333333"/>
          <w:sz w:val="21"/>
          <w:szCs w:val="21"/>
        </w:rPr>
        <w:t>相结合的方式。考生报名流程如下：</w:t>
      </w:r>
    </w:p>
    <w:p>
      <w:pPr>
        <w:pStyle w:val="6"/>
        <w:widowControl/>
        <w:spacing w:beforeAutospacing="0" w:afterAutospacing="0"/>
        <w:jc w:val="center"/>
        <w:rPr>
          <w:rFonts w:ascii="微软雅黑" w:hAnsi="微软雅黑" w:eastAsia="微软雅黑" w:cs="微软雅黑"/>
          <w:color w:val="333333"/>
          <w:sz w:val="21"/>
          <w:szCs w:val="21"/>
        </w:rPr>
      </w:pPr>
      <w:r>
        <w:rPr>
          <w:rFonts w:hint="eastAsia" w:ascii="微软雅黑" w:hAnsi="微软雅黑" w:eastAsia="微软雅黑" w:cs="微软雅黑"/>
          <w:color w:val="333333"/>
          <w:sz w:val="21"/>
          <w:szCs w:val="21"/>
        </w:rPr>
        <w:drawing>
          <wp:inline distT="0" distB="0" distL="114300" distR="114300">
            <wp:extent cx="6061710" cy="6590030"/>
            <wp:effectExtent l="0" t="0" r="15240" b="1270"/>
            <wp:docPr id="1" name="图片 1" descr="2021-12-06_006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1-12-06_006216.png"/>
                    <pic:cNvPicPr>
                      <a:picLocks noChangeAspect="1"/>
                    </pic:cNvPicPr>
                  </pic:nvPicPr>
                  <pic:blipFill>
                    <a:blip r:embed="rId4" cstate="print"/>
                    <a:stretch>
                      <a:fillRect/>
                    </a:stretch>
                  </pic:blipFill>
                  <pic:spPr>
                    <a:xfrm>
                      <a:off x="0" y="0"/>
                      <a:ext cx="6061710" cy="6590030"/>
                    </a:xfrm>
                    <a:prstGeom prst="rect">
                      <a:avLst/>
                    </a:prstGeom>
                    <a:noFill/>
                    <a:ln w="9525">
                      <a:noFill/>
                    </a:ln>
                  </pic:spPr>
                </pic:pic>
              </a:graphicData>
            </a:graphic>
          </wp:inline>
        </w:drawing>
      </w:r>
    </w:p>
    <w:p>
      <w:pPr>
        <w:pStyle w:val="6"/>
        <w:widowControl/>
        <w:spacing w:beforeAutospacing="0" w:afterAutospacing="0"/>
        <w:rPr>
          <w:rFonts w:ascii="微软雅黑" w:hAnsi="微软雅黑" w:eastAsia="微软雅黑" w:cs="微软雅黑"/>
          <w:color w:val="333333"/>
          <w:sz w:val="21"/>
          <w:szCs w:val="21"/>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2AD"/>
    <w:rsid w:val="009D577D"/>
    <w:rsid w:val="00C96938"/>
    <w:rsid w:val="00D872AD"/>
    <w:rsid w:val="49E77B7F"/>
    <w:rsid w:val="51A950FF"/>
    <w:rsid w:val="5221372C"/>
    <w:rsid w:val="57673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页眉 Char"/>
    <w:basedOn w:val="8"/>
    <w:link w:val="5"/>
    <w:qFormat/>
    <w:uiPriority w:val="0"/>
    <w:rPr>
      <w:rFonts w:asciiTheme="minorHAnsi" w:hAnsiTheme="minorHAnsi" w:eastAsiaTheme="minorEastAsia" w:cstheme="minorBidi"/>
      <w:kern w:val="2"/>
      <w:sz w:val="18"/>
      <w:szCs w:val="18"/>
    </w:rPr>
  </w:style>
  <w:style w:type="character" w:customStyle="1" w:styleId="10">
    <w:name w:val="页脚 Char"/>
    <w:basedOn w:val="8"/>
    <w:link w:val="4"/>
    <w:qFormat/>
    <w:uiPriority w:val="0"/>
    <w:rPr>
      <w:rFonts w:asciiTheme="minorHAnsi" w:hAnsiTheme="minorHAnsi" w:eastAsiaTheme="minorEastAsia" w:cstheme="minorBidi"/>
      <w:kern w:val="2"/>
      <w:sz w:val="18"/>
      <w:szCs w:val="18"/>
    </w:rPr>
  </w:style>
  <w:style w:type="character" w:customStyle="1" w:styleId="11">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443</Words>
  <Characters>2528</Characters>
  <Lines>21</Lines>
  <Paragraphs>5</Paragraphs>
  <TotalTime>0</TotalTime>
  <ScaleCrop>false</ScaleCrop>
  <LinksUpToDate>false</LinksUpToDate>
  <CharactersWithSpaces>2966</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2021-12-07T00:47:00Z</dcterms:created>
  <dc:creator>Administrator</dc:creator>
  <cp:lastModifiedBy>Administrator</cp:lastModifiedBy>
  <dcterms:modified xsi:type="dcterms:W3CDTF">2021-12-14T06:21:22Z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E5C718D317F3480A94ACDE1AF11BC8E6</vt:lpwstr>
  </property>
</Properties>
</file>