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jc w:val="center"/>
        <w:rPr>
          <w:rFonts w:hint="eastAsia" w:ascii="宋体" w:hAnsi="宋体" w:cs="宋体"/>
          <w:b/>
          <w:bCs/>
          <w:color w:val="000000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sz w:val="32"/>
          <w:szCs w:val="32"/>
        </w:rPr>
        <w:t>天水师范学院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</w:rPr>
        <w:t>2022年专升本</w:t>
      </w:r>
    </w:p>
    <w:p>
      <w:pPr>
        <w:adjustRightInd w:val="0"/>
        <w:snapToGrid w:val="0"/>
        <w:spacing w:line="360" w:lineRule="auto"/>
        <w:jc w:val="center"/>
        <w:rPr>
          <w:rFonts w:hint="eastAsia" w:ascii="宋体" w:hAnsi="宋体" w:cs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</w:rPr>
        <w:t>测绘工程专业免试入学专业能力测试大纲</w:t>
      </w:r>
    </w:p>
    <w:p>
      <w:pPr>
        <w:widowControl/>
        <w:spacing w:line="560" w:lineRule="exact"/>
        <w:jc w:val="center"/>
        <w:rPr>
          <w:rFonts w:hint="eastAsia" w:ascii="宋体" w:hAnsi="宋体" w:cs="华文中宋"/>
          <w:b/>
          <w:bCs/>
          <w:sz w:val="36"/>
          <w:szCs w:val="36"/>
        </w:rPr>
      </w:pPr>
    </w:p>
    <w:p>
      <w:pPr>
        <w:pStyle w:val="16"/>
        <w:shd w:val="clear" w:color="auto" w:fill="FFFFFF"/>
        <w:adjustRightInd w:val="0"/>
        <w:snapToGrid w:val="0"/>
        <w:spacing w:line="360" w:lineRule="auto"/>
        <w:ind w:firstLine="480" w:firstLineChars="200"/>
        <w:rPr>
          <w:rFonts w:hint="eastAsia"/>
          <w:b/>
          <w:bCs/>
        </w:rPr>
      </w:pPr>
      <w:r>
        <w:rPr>
          <w:rFonts w:hint="eastAsia"/>
          <w:b/>
          <w:bCs/>
        </w:rPr>
        <w:t>一、测试科目</w:t>
      </w:r>
    </w:p>
    <w:p>
      <w:pPr>
        <w:pStyle w:val="16"/>
        <w:shd w:val="clear" w:color="auto" w:fill="FFFFFF"/>
        <w:adjustRightInd w:val="0"/>
        <w:snapToGrid w:val="0"/>
        <w:spacing w:line="360" w:lineRule="auto"/>
        <w:ind w:firstLine="480" w:firstLineChars="200"/>
        <w:rPr>
          <w:rFonts w:hint="eastAsia"/>
        </w:rPr>
      </w:pPr>
      <w:r>
        <w:rPr>
          <w:rFonts w:hint="eastAsia"/>
        </w:rPr>
        <w:t>考试科目为《测量学》。</w:t>
      </w:r>
    </w:p>
    <w:p>
      <w:pPr>
        <w:pStyle w:val="16"/>
        <w:shd w:val="clear" w:color="auto" w:fill="FFFFFF"/>
        <w:adjustRightInd w:val="0"/>
        <w:snapToGrid w:val="0"/>
        <w:spacing w:line="360" w:lineRule="auto"/>
        <w:ind w:firstLine="480" w:firstLineChars="200"/>
        <w:rPr>
          <w:rFonts w:hint="eastAsia"/>
          <w:b/>
          <w:bCs/>
        </w:rPr>
      </w:pPr>
      <w:r>
        <w:rPr>
          <w:rFonts w:hint="eastAsia"/>
          <w:b/>
          <w:bCs/>
        </w:rPr>
        <w:t>二、测试方式</w:t>
      </w:r>
    </w:p>
    <w:p>
      <w:pPr>
        <w:pStyle w:val="16"/>
        <w:shd w:val="clear" w:color="auto" w:fill="FFFFFF"/>
        <w:adjustRightInd w:val="0"/>
        <w:snapToGrid w:val="0"/>
        <w:spacing w:line="360" w:lineRule="auto"/>
        <w:ind w:firstLine="480" w:firstLineChars="200"/>
        <w:rPr>
          <w:rFonts w:hint="eastAsia"/>
        </w:rPr>
      </w:pPr>
      <w:r>
        <w:rPr>
          <w:rFonts w:hint="eastAsia"/>
        </w:rPr>
        <w:t>形式以笔试、闭卷进行，满分150分,考试时间120分钟。</w:t>
      </w:r>
    </w:p>
    <w:p>
      <w:pPr>
        <w:pStyle w:val="16"/>
        <w:shd w:val="clear" w:color="auto" w:fill="FFFFFF"/>
        <w:adjustRightInd w:val="0"/>
        <w:snapToGrid w:val="0"/>
        <w:spacing w:line="360" w:lineRule="auto"/>
        <w:ind w:firstLine="480" w:firstLineChars="200"/>
        <w:rPr>
          <w:rFonts w:hint="eastAsia"/>
          <w:b/>
          <w:bCs/>
        </w:rPr>
      </w:pPr>
      <w:r>
        <w:rPr>
          <w:rFonts w:hint="eastAsia"/>
          <w:b/>
          <w:bCs/>
        </w:rPr>
        <w:t>三、基本题型</w:t>
      </w:r>
    </w:p>
    <w:p>
      <w:pPr>
        <w:pStyle w:val="16"/>
        <w:shd w:val="clear" w:color="auto" w:fill="FFFFFF"/>
        <w:adjustRightInd w:val="0"/>
        <w:snapToGrid w:val="0"/>
        <w:spacing w:line="360" w:lineRule="auto"/>
        <w:ind w:firstLine="480" w:firstLineChars="200"/>
        <w:rPr>
          <w:rFonts w:hint="eastAsia"/>
        </w:rPr>
      </w:pPr>
      <w:r>
        <w:rPr>
          <w:rFonts w:hint="eastAsia"/>
        </w:rPr>
        <w:t xml:space="preserve">考试题型涉及到填空题、选择题、解答题等多种题型，考生需自备无字典存储和编程功能的电子计算器。 </w:t>
      </w:r>
    </w:p>
    <w:p>
      <w:pPr>
        <w:pStyle w:val="16"/>
        <w:shd w:val="clear" w:color="auto" w:fill="FFFFFF"/>
        <w:adjustRightInd w:val="0"/>
        <w:snapToGrid w:val="0"/>
        <w:spacing w:line="360" w:lineRule="auto"/>
        <w:ind w:firstLine="480" w:firstLineChars="200"/>
        <w:rPr>
          <w:rFonts w:hint="eastAsia"/>
          <w:b/>
          <w:bCs/>
        </w:rPr>
      </w:pPr>
      <w:r>
        <w:rPr>
          <w:rFonts w:hint="eastAsia"/>
          <w:b/>
          <w:bCs/>
        </w:rPr>
        <w:t>四、考试内容和基本要求</w:t>
      </w:r>
    </w:p>
    <w:p>
      <w:pPr>
        <w:pStyle w:val="16"/>
        <w:shd w:val="clear" w:color="auto" w:fill="FFFFFF"/>
        <w:adjustRightInd w:val="0"/>
        <w:snapToGrid w:val="0"/>
        <w:spacing w:line="360" w:lineRule="auto"/>
        <w:ind w:firstLine="480" w:firstLineChars="200"/>
        <w:rPr>
          <w:rFonts w:hint="eastAsia"/>
        </w:rPr>
      </w:pPr>
      <w:r>
        <w:rPr>
          <w:rFonts w:hint="eastAsia"/>
        </w:rPr>
        <w:t>第一章绪论</w:t>
      </w:r>
    </w:p>
    <w:p>
      <w:pPr>
        <w:pStyle w:val="16"/>
        <w:shd w:val="clear" w:color="auto" w:fill="FFFFFF"/>
        <w:adjustRightInd w:val="0"/>
        <w:snapToGrid w:val="0"/>
        <w:spacing w:line="360" w:lineRule="auto"/>
        <w:ind w:firstLine="480" w:firstLineChars="200"/>
        <w:rPr>
          <w:rFonts w:hint="eastAsia"/>
        </w:rPr>
      </w:pPr>
      <w:r>
        <w:rPr>
          <w:rFonts w:hint="eastAsia"/>
        </w:rPr>
        <w:t>测量学概述，地球的形状和大小，坐标系的建立及地面点坐标，用平面代替水准面的限度，测量工作的基本概念。</w:t>
      </w:r>
    </w:p>
    <w:p>
      <w:pPr>
        <w:pStyle w:val="16"/>
        <w:shd w:val="clear" w:color="auto" w:fill="FFFFFF"/>
        <w:adjustRightInd w:val="0"/>
        <w:snapToGrid w:val="0"/>
        <w:spacing w:line="360" w:lineRule="auto"/>
        <w:ind w:firstLine="480" w:firstLineChars="200"/>
        <w:rPr>
          <w:rFonts w:hint="eastAsia"/>
        </w:rPr>
      </w:pPr>
      <w:r>
        <w:rPr>
          <w:rFonts w:hint="eastAsia"/>
        </w:rPr>
        <w:t>第二章水准测量</w:t>
      </w:r>
    </w:p>
    <w:p>
      <w:pPr>
        <w:pStyle w:val="16"/>
        <w:shd w:val="clear" w:color="auto" w:fill="FFFFFF"/>
        <w:adjustRightInd w:val="0"/>
        <w:snapToGrid w:val="0"/>
        <w:spacing w:line="360" w:lineRule="auto"/>
        <w:ind w:firstLine="480" w:firstLineChars="200"/>
        <w:rPr>
          <w:rFonts w:hint="eastAsia"/>
        </w:rPr>
      </w:pPr>
      <w:r>
        <w:rPr>
          <w:rFonts w:hint="eastAsia"/>
        </w:rPr>
        <w:t>水准测量的原理，水准仪和水准尺，水准测量的外业施测，水准测量的内业计算，水准仪的检验与校正，自动安平水准仪，精密水准仪和水准尺，电子水准仪和条纹码水准尺，水准测量误差及注意事项。</w:t>
      </w:r>
    </w:p>
    <w:p>
      <w:pPr>
        <w:pStyle w:val="16"/>
        <w:shd w:val="clear" w:color="auto" w:fill="FFFFFF"/>
        <w:adjustRightInd w:val="0"/>
        <w:snapToGrid w:val="0"/>
        <w:spacing w:line="360" w:lineRule="auto"/>
        <w:ind w:firstLine="480" w:firstLineChars="200"/>
        <w:rPr>
          <w:rFonts w:hint="eastAsia"/>
        </w:rPr>
      </w:pPr>
      <w:r>
        <w:rPr>
          <w:rFonts w:hint="eastAsia"/>
        </w:rPr>
        <w:t>第三章角度测量</w:t>
      </w:r>
    </w:p>
    <w:p>
      <w:pPr>
        <w:pStyle w:val="16"/>
        <w:shd w:val="clear" w:color="auto" w:fill="FFFFFF"/>
        <w:adjustRightInd w:val="0"/>
        <w:snapToGrid w:val="0"/>
        <w:spacing w:line="360" w:lineRule="auto"/>
        <w:ind w:firstLine="480" w:firstLineChars="200"/>
        <w:rPr>
          <w:rFonts w:hint="eastAsia"/>
        </w:rPr>
      </w:pPr>
      <w:r>
        <w:rPr>
          <w:rFonts w:hint="eastAsia"/>
        </w:rPr>
        <w:t>角度测量原理，光学经纬仪，水平角测量，竖直角测量，经纬仪的检验与校正，水平角测量误差，光学经纬仪竖盘指标自动归零装置，电子经纬仪。</w:t>
      </w:r>
    </w:p>
    <w:p>
      <w:pPr>
        <w:pStyle w:val="16"/>
        <w:shd w:val="clear" w:color="auto" w:fill="FFFFFF"/>
        <w:adjustRightInd w:val="0"/>
        <w:snapToGrid w:val="0"/>
        <w:spacing w:line="360" w:lineRule="auto"/>
        <w:ind w:firstLine="480" w:firstLineChars="200"/>
        <w:rPr>
          <w:rFonts w:hint="eastAsia"/>
        </w:rPr>
      </w:pPr>
      <w:r>
        <w:rPr>
          <w:rFonts w:hint="eastAsia"/>
        </w:rPr>
        <w:t>第四章距离丈量和直线定向</w:t>
      </w:r>
    </w:p>
    <w:p>
      <w:pPr>
        <w:pStyle w:val="16"/>
        <w:shd w:val="clear" w:color="auto" w:fill="FFFFFF"/>
        <w:adjustRightInd w:val="0"/>
        <w:snapToGrid w:val="0"/>
        <w:spacing w:line="360" w:lineRule="auto"/>
        <w:ind w:firstLine="480" w:firstLineChars="200"/>
        <w:rPr>
          <w:rFonts w:hint="eastAsia"/>
        </w:rPr>
      </w:pPr>
      <w:r>
        <w:rPr>
          <w:rFonts w:hint="eastAsia"/>
        </w:rPr>
        <w:t>距离丈量，直线定向，罗盘仪磁方位角测量，测距概述，电磁波测距，全站仪，仪器使用的注意事项和养护。</w:t>
      </w:r>
    </w:p>
    <w:p>
      <w:pPr>
        <w:pStyle w:val="16"/>
        <w:shd w:val="clear" w:color="auto" w:fill="FFFFFF"/>
        <w:adjustRightInd w:val="0"/>
        <w:snapToGrid w:val="0"/>
        <w:spacing w:line="360" w:lineRule="auto"/>
        <w:ind w:firstLine="480" w:firstLineChars="200"/>
        <w:rPr>
          <w:rFonts w:hint="eastAsia"/>
        </w:rPr>
      </w:pPr>
      <w:r>
        <w:rPr>
          <w:rFonts w:hint="eastAsia"/>
        </w:rPr>
        <w:t>第五章测量误差基本知识</w:t>
      </w:r>
    </w:p>
    <w:p>
      <w:pPr>
        <w:pStyle w:val="16"/>
        <w:shd w:val="clear" w:color="auto" w:fill="FFFFFF"/>
        <w:adjustRightInd w:val="0"/>
        <w:snapToGrid w:val="0"/>
        <w:spacing w:line="360" w:lineRule="auto"/>
        <w:ind w:firstLine="480" w:firstLineChars="200"/>
        <w:rPr>
          <w:rFonts w:hint="eastAsia"/>
        </w:rPr>
      </w:pPr>
      <w:r>
        <w:rPr>
          <w:rFonts w:hint="eastAsia"/>
        </w:rPr>
        <w:t>观测误差及其分类，偶然误差的统计特性，评定观测值精度的标准，误差传播定律及其应用。</w:t>
      </w:r>
    </w:p>
    <w:p>
      <w:pPr>
        <w:pStyle w:val="16"/>
        <w:shd w:val="clear" w:color="auto" w:fill="FFFFFF"/>
        <w:adjustRightInd w:val="0"/>
        <w:snapToGrid w:val="0"/>
        <w:spacing w:line="360" w:lineRule="auto"/>
        <w:ind w:firstLine="480" w:firstLineChars="200"/>
        <w:rPr>
          <w:rFonts w:hint="eastAsia"/>
        </w:rPr>
      </w:pPr>
      <w:r>
        <w:rPr>
          <w:rFonts w:hint="eastAsia"/>
        </w:rPr>
        <w:t>第六章小区域控制测量</w:t>
      </w:r>
    </w:p>
    <w:p>
      <w:pPr>
        <w:pStyle w:val="16"/>
        <w:shd w:val="clear" w:color="auto" w:fill="FFFFFF"/>
        <w:adjustRightInd w:val="0"/>
        <w:snapToGrid w:val="0"/>
        <w:spacing w:line="360" w:lineRule="auto"/>
        <w:ind w:firstLine="480" w:firstLineChars="200"/>
        <w:rPr>
          <w:rFonts w:hint="eastAsia"/>
        </w:rPr>
      </w:pPr>
      <w:r>
        <w:rPr>
          <w:rFonts w:hint="eastAsia"/>
        </w:rPr>
        <w:t>导线测量基本知识，导线测量外业，导线测量内业计算，交会定点，坐标换带计算，GPS卫星全球定位系统简介，三四等水准测量，三角高程测量。</w:t>
      </w:r>
    </w:p>
    <w:p>
      <w:pPr>
        <w:pStyle w:val="16"/>
        <w:shd w:val="clear" w:color="auto" w:fill="FFFFFF"/>
        <w:adjustRightInd w:val="0"/>
        <w:snapToGrid w:val="0"/>
        <w:spacing w:line="360" w:lineRule="auto"/>
        <w:ind w:firstLine="480" w:firstLineChars="200"/>
        <w:rPr>
          <w:rFonts w:hint="eastAsia"/>
        </w:rPr>
      </w:pPr>
      <w:r>
        <w:rPr>
          <w:rFonts w:hint="eastAsia"/>
        </w:rPr>
        <w:t>第七章大比例尺地形图测绘</w:t>
      </w:r>
    </w:p>
    <w:p>
      <w:pPr>
        <w:pStyle w:val="16"/>
        <w:shd w:val="clear" w:color="auto" w:fill="FFFFFF"/>
        <w:adjustRightInd w:val="0"/>
        <w:snapToGrid w:val="0"/>
        <w:spacing w:line="360" w:lineRule="auto"/>
        <w:ind w:firstLine="480" w:firstLineChars="200"/>
        <w:rPr>
          <w:rFonts w:hint="eastAsia"/>
        </w:rPr>
      </w:pPr>
      <w:r>
        <w:rPr>
          <w:rFonts w:hint="eastAsia"/>
        </w:rPr>
        <w:t>地形图的基本知识，测图前的准备工作，地物平面图测绘，地形图中等高线的测绘，数字测图概述。</w:t>
      </w:r>
    </w:p>
    <w:p>
      <w:pPr>
        <w:pStyle w:val="16"/>
        <w:shd w:val="clear" w:color="auto" w:fill="FFFFFF"/>
        <w:adjustRightInd w:val="0"/>
        <w:snapToGrid w:val="0"/>
        <w:spacing w:line="360" w:lineRule="auto"/>
        <w:ind w:firstLine="480" w:firstLineChars="200"/>
        <w:rPr>
          <w:rFonts w:hint="eastAsia"/>
          <w:b/>
          <w:bCs/>
        </w:rPr>
      </w:pPr>
      <w:r>
        <w:rPr>
          <w:rFonts w:hint="eastAsia"/>
          <w:b/>
          <w:bCs/>
        </w:rPr>
        <w:t>五、 参考书目</w:t>
      </w:r>
    </w:p>
    <w:p>
      <w:pPr>
        <w:pStyle w:val="16"/>
        <w:shd w:val="clear" w:color="auto" w:fill="FFFFFF"/>
        <w:adjustRightInd w:val="0"/>
        <w:snapToGrid w:val="0"/>
        <w:spacing w:line="360" w:lineRule="auto"/>
        <w:ind w:firstLine="480" w:firstLineChars="200"/>
        <w:rPr>
          <w:rFonts w:hint="eastAsia"/>
        </w:rPr>
      </w:pPr>
      <w:r>
        <w:rPr>
          <w:rFonts w:hint="eastAsia"/>
        </w:rPr>
        <w:t>《测量学》（第五版），程效军等，同济大学出版社。</w:t>
      </w:r>
    </w:p>
    <w:sectPr>
      <w:footerReference r:id="rId3" w:type="default"/>
      <w:footerReference r:id="rId4" w:type="even"/>
      <w:pgSz w:w="11906" w:h="16838"/>
      <w:pgMar w:top="2155" w:right="1588" w:bottom="1588" w:left="1588" w:header="851" w:footer="992" w:gutter="0"/>
      <w:cols w:space="720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2</w:t>
    </w:r>
    <w:r>
      <w:fldChar w:fldCharType="end"/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20</w:t>
    </w:r>
    <w: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175"/>
    <w:rsid w:val="000011A2"/>
    <w:rsid w:val="00011625"/>
    <w:rsid w:val="000200A4"/>
    <w:rsid w:val="0002403C"/>
    <w:rsid w:val="000263BD"/>
    <w:rsid w:val="00032F2C"/>
    <w:rsid w:val="00040939"/>
    <w:rsid w:val="000608FF"/>
    <w:rsid w:val="000638B4"/>
    <w:rsid w:val="00070664"/>
    <w:rsid w:val="00081493"/>
    <w:rsid w:val="00084EB1"/>
    <w:rsid w:val="00090057"/>
    <w:rsid w:val="000B6F7A"/>
    <w:rsid w:val="000C5175"/>
    <w:rsid w:val="000D747B"/>
    <w:rsid w:val="000E0AF7"/>
    <w:rsid w:val="000F3B93"/>
    <w:rsid w:val="00100D3B"/>
    <w:rsid w:val="001115EA"/>
    <w:rsid w:val="00111979"/>
    <w:rsid w:val="00124EFE"/>
    <w:rsid w:val="001331D1"/>
    <w:rsid w:val="00133CAF"/>
    <w:rsid w:val="00136B65"/>
    <w:rsid w:val="00141103"/>
    <w:rsid w:val="00155516"/>
    <w:rsid w:val="00167E9E"/>
    <w:rsid w:val="001810EA"/>
    <w:rsid w:val="00195BC8"/>
    <w:rsid w:val="001B2BEA"/>
    <w:rsid w:val="001C471C"/>
    <w:rsid w:val="001D1BE9"/>
    <w:rsid w:val="0021301D"/>
    <w:rsid w:val="00222951"/>
    <w:rsid w:val="00244C61"/>
    <w:rsid w:val="00253658"/>
    <w:rsid w:val="002852BA"/>
    <w:rsid w:val="00290B55"/>
    <w:rsid w:val="002A13FA"/>
    <w:rsid w:val="002A51B8"/>
    <w:rsid w:val="002C1E44"/>
    <w:rsid w:val="002D0B5D"/>
    <w:rsid w:val="00300257"/>
    <w:rsid w:val="00300CCB"/>
    <w:rsid w:val="00315216"/>
    <w:rsid w:val="00316A26"/>
    <w:rsid w:val="00376078"/>
    <w:rsid w:val="0038093B"/>
    <w:rsid w:val="003B0C22"/>
    <w:rsid w:val="003B154E"/>
    <w:rsid w:val="003C35F8"/>
    <w:rsid w:val="003E23A8"/>
    <w:rsid w:val="003F1CBD"/>
    <w:rsid w:val="00422B69"/>
    <w:rsid w:val="00445875"/>
    <w:rsid w:val="00446345"/>
    <w:rsid w:val="00450AF4"/>
    <w:rsid w:val="004804BA"/>
    <w:rsid w:val="00495779"/>
    <w:rsid w:val="0049717C"/>
    <w:rsid w:val="004A01EB"/>
    <w:rsid w:val="004B18A0"/>
    <w:rsid w:val="004C1B56"/>
    <w:rsid w:val="004F417C"/>
    <w:rsid w:val="004F70BD"/>
    <w:rsid w:val="005230D2"/>
    <w:rsid w:val="005311F6"/>
    <w:rsid w:val="00535F03"/>
    <w:rsid w:val="00561449"/>
    <w:rsid w:val="00575A13"/>
    <w:rsid w:val="005A5011"/>
    <w:rsid w:val="005B269F"/>
    <w:rsid w:val="005B3CBD"/>
    <w:rsid w:val="005B3E26"/>
    <w:rsid w:val="005B58E5"/>
    <w:rsid w:val="005C3B46"/>
    <w:rsid w:val="005E0218"/>
    <w:rsid w:val="005E5539"/>
    <w:rsid w:val="005F69E0"/>
    <w:rsid w:val="006118DF"/>
    <w:rsid w:val="00617100"/>
    <w:rsid w:val="006244FD"/>
    <w:rsid w:val="0063453B"/>
    <w:rsid w:val="0063769D"/>
    <w:rsid w:val="006419FF"/>
    <w:rsid w:val="0065400B"/>
    <w:rsid w:val="00677BFA"/>
    <w:rsid w:val="00691DD9"/>
    <w:rsid w:val="006955E0"/>
    <w:rsid w:val="006A1334"/>
    <w:rsid w:val="006A2CEB"/>
    <w:rsid w:val="006A6B3C"/>
    <w:rsid w:val="006B4A7C"/>
    <w:rsid w:val="006E45DD"/>
    <w:rsid w:val="007021CE"/>
    <w:rsid w:val="00722CE6"/>
    <w:rsid w:val="007353A9"/>
    <w:rsid w:val="007421D3"/>
    <w:rsid w:val="00771F99"/>
    <w:rsid w:val="00775888"/>
    <w:rsid w:val="00796526"/>
    <w:rsid w:val="007A0BA7"/>
    <w:rsid w:val="007A401E"/>
    <w:rsid w:val="007D1B04"/>
    <w:rsid w:val="007E4760"/>
    <w:rsid w:val="007F01DC"/>
    <w:rsid w:val="00804A35"/>
    <w:rsid w:val="00807178"/>
    <w:rsid w:val="008208B7"/>
    <w:rsid w:val="008217CC"/>
    <w:rsid w:val="008223E1"/>
    <w:rsid w:val="00824C38"/>
    <w:rsid w:val="00857091"/>
    <w:rsid w:val="00870F6C"/>
    <w:rsid w:val="00874240"/>
    <w:rsid w:val="008B42E1"/>
    <w:rsid w:val="008F0F9A"/>
    <w:rsid w:val="008F6CCC"/>
    <w:rsid w:val="00917C3D"/>
    <w:rsid w:val="009247B8"/>
    <w:rsid w:val="00970588"/>
    <w:rsid w:val="00975637"/>
    <w:rsid w:val="00980386"/>
    <w:rsid w:val="009A4A88"/>
    <w:rsid w:val="009C04CD"/>
    <w:rsid w:val="009D0646"/>
    <w:rsid w:val="00A15C66"/>
    <w:rsid w:val="00A32024"/>
    <w:rsid w:val="00A32187"/>
    <w:rsid w:val="00A5106F"/>
    <w:rsid w:val="00A63627"/>
    <w:rsid w:val="00A76E40"/>
    <w:rsid w:val="00A93852"/>
    <w:rsid w:val="00AC3405"/>
    <w:rsid w:val="00AC4304"/>
    <w:rsid w:val="00AC599E"/>
    <w:rsid w:val="00AC5A0B"/>
    <w:rsid w:val="00AD1A11"/>
    <w:rsid w:val="00AD3536"/>
    <w:rsid w:val="00AF0C28"/>
    <w:rsid w:val="00AF36B2"/>
    <w:rsid w:val="00AF4DDE"/>
    <w:rsid w:val="00AF74C2"/>
    <w:rsid w:val="00B33D32"/>
    <w:rsid w:val="00B41B25"/>
    <w:rsid w:val="00B477DA"/>
    <w:rsid w:val="00B64026"/>
    <w:rsid w:val="00B9711A"/>
    <w:rsid w:val="00BD7C77"/>
    <w:rsid w:val="00BF36EC"/>
    <w:rsid w:val="00BF3FF0"/>
    <w:rsid w:val="00BF6F22"/>
    <w:rsid w:val="00C20A5C"/>
    <w:rsid w:val="00C444DE"/>
    <w:rsid w:val="00C62D37"/>
    <w:rsid w:val="00C74660"/>
    <w:rsid w:val="00C74EC1"/>
    <w:rsid w:val="00C917F3"/>
    <w:rsid w:val="00C91CDC"/>
    <w:rsid w:val="00CA2FB4"/>
    <w:rsid w:val="00CB4ECA"/>
    <w:rsid w:val="00CC455F"/>
    <w:rsid w:val="00CD400D"/>
    <w:rsid w:val="00CE2566"/>
    <w:rsid w:val="00D00ED8"/>
    <w:rsid w:val="00D24CB3"/>
    <w:rsid w:val="00D25E3A"/>
    <w:rsid w:val="00D41B80"/>
    <w:rsid w:val="00D47B9D"/>
    <w:rsid w:val="00D53ADC"/>
    <w:rsid w:val="00D53FDF"/>
    <w:rsid w:val="00D60838"/>
    <w:rsid w:val="00D82E8B"/>
    <w:rsid w:val="00DA4F89"/>
    <w:rsid w:val="00DA7AD1"/>
    <w:rsid w:val="00DC07BC"/>
    <w:rsid w:val="00DC402B"/>
    <w:rsid w:val="00DD2DD6"/>
    <w:rsid w:val="00DD6F5F"/>
    <w:rsid w:val="00DD793C"/>
    <w:rsid w:val="00E00A4C"/>
    <w:rsid w:val="00E04905"/>
    <w:rsid w:val="00E111BE"/>
    <w:rsid w:val="00E23F75"/>
    <w:rsid w:val="00E7324D"/>
    <w:rsid w:val="00E85392"/>
    <w:rsid w:val="00E91845"/>
    <w:rsid w:val="00EA208B"/>
    <w:rsid w:val="00EA2C3D"/>
    <w:rsid w:val="00EA6B7B"/>
    <w:rsid w:val="00EB22BC"/>
    <w:rsid w:val="00EE2C70"/>
    <w:rsid w:val="00EF67BE"/>
    <w:rsid w:val="00EF6FF2"/>
    <w:rsid w:val="00F02453"/>
    <w:rsid w:val="00F10646"/>
    <w:rsid w:val="00F10A16"/>
    <w:rsid w:val="00F20BB5"/>
    <w:rsid w:val="00F61D5B"/>
    <w:rsid w:val="00F7686F"/>
    <w:rsid w:val="00F9630F"/>
    <w:rsid w:val="00FE736C"/>
    <w:rsid w:val="00FE7754"/>
    <w:rsid w:val="00FF0CE0"/>
    <w:rsid w:val="06EB3999"/>
    <w:rsid w:val="394F3D42"/>
    <w:rsid w:val="3A83464B"/>
    <w:rsid w:val="436E035D"/>
    <w:rsid w:val="459551C9"/>
    <w:rsid w:val="471379C0"/>
    <w:rsid w:val="47734E6C"/>
    <w:rsid w:val="4AF372EE"/>
    <w:rsid w:val="55767B67"/>
    <w:rsid w:val="593F168A"/>
    <w:rsid w:val="5FA024CF"/>
    <w:rsid w:val="60672301"/>
    <w:rsid w:val="670B7CF0"/>
    <w:rsid w:val="77796E77"/>
    <w:rsid w:val="79656721"/>
    <w:rsid w:val="7C38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qFormat/>
    <w:uiPriority w:val="0"/>
    <w:rPr>
      <w:sz w:val="18"/>
      <w:szCs w:val="18"/>
      <w:lang w:val="zh-CN" w:eastAsia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 w:eastAsia="zh-CN"/>
    </w:rPr>
  </w:style>
  <w:style w:type="character" w:styleId="8">
    <w:name w:val="Strong"/>
    <w:qFormat/>
    <w:uiPriority w:val="0"/>
    <w:rPr>
      <w:b/>
      <w:bCs/>
    </w:rPr>
  </w:style>
  <w:style w:type="character" w:styleId="9">
    <w:name w:val="page number"/>
    <w:basedOn w:val="7"/>
    <w:qFormat/>
    <w:uiPriority w:val="0"/>
  </w:style>
  <w:style w:type="character" w:styleId="10">
    <w:name w:val="Hyperlink"/>
    <w:qFormat/>
    <w:uiPriority w:val="0"/>
    <w:rPr>
      <w:color w:val="0000FF"/>
      <w:u w:val="single"/>
    </w:rPr>
  </w:style>
  <w:style w:type="character" w:styleId="11">
    <w:name w:val="annotation reference"/>
    <w:semiHidden/>
    <w:uiPriority w:val="0"/>
    <w:rPr>
      <w:sz w:val="21"/>
      <w:szCs w:val="21"/>
    </w:rPr>
  </w:style>
  <w:style w:type="character" w:customStyle="1" w:styleId="12">
    <w:name w:val="批注框文本 Char"/>
    <w:link w:val="3"/>
    <w:qFormat/>
    <w:uiPriority w:val="0"/>
    <w:rPr>
      <w:kern w:val="2"/>
      <w:sz w:val="18"/>
      <w:szCs w:val="18"/>
    </w:rPr>
  </w:style>
  <w:style w:type="character" w:customStyle="1" w:styleId="13">
    <w:name w:val="页眉 Char"/>
    <w:link w:val="5"/>
    <w:qFormat/>
    <w:uiPriority w:val="0"/>
    <w:rPr>
      <w:kern w:val="2"/>
      <w:sz w:val="18"/>
      <w:szCs w:val="18"/>
    </w:rPr>
  </w:style>
  <w:style w:type="paragraph" w:customStyle="1" w:styleId="14">
    <w:name w:val=" Char1"/>
    <w:basedOn w:val="1"/>
    <w:qFormat/>
    <w:uiPriority w:val="0"/>
    <w:pPr>
      <w:tabs>
        <w:tab w:val="left" w:pos="360"/>
      </w:tabs>
    </w:pPr>
    <w:rPr>
      <w:sz w:val="24"/>
    </w:rPr>
  </w:style>
  <w:style w:type="paragraph" w:customStyle="1" w:styleId="15">
    <w:name w:val="列出段落11"/>
    <w:basedOn w:val="1"/>
    <w:qFormat/>
    <w:uiPriority w:val="34"/>
    <w:pPr>
      <w:ind w:firstLine="420" w:firstLineChars="200"/>
    </w:pPr>
    <w:rPr>
      <w:szCs w:val="22"/>
    </w:rPr>
  </w:style>
  <w:style w:type="paragraph" w:customStyle="1" w:styleId="16">
    <w:name w:val="p0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100</Words>
  <Characters>571</Characters>
  <Lines>4</Lines>
  <Paragraphs>1</Paragraphs>
  <TotalTime>0</TotalTime>
  <ScaleCrop>false</ScaleCrop>
  <LinksUpToDate>false</LinksUpToDate>
  <CharactersWithSpaces>670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2022-02-16T01:12:00Z</dcterms:created>
  <dc:creator>HP</dc:creator>
  <cp:lastModifiedBy>Administrator</cp:lastModifiedBy>
  <cp:lastPrinted>2020-11-11T03:30:00Z</cp:lastPrinted>
  <dcterms:modified xsi:type="dcterms:W3CDTF">2022-03-10T07:30:25Z</dcterms:modified>
  <dc:title>关于印发《2015年甘肃省普通高校招生美术与设计学类、音乐学类、戏剧与影视学类和舞蹈学类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A6BA47F4193247BCAD30F2C12296E6DC</vt:lpwstr>
  </property>
</Properties>
</file>