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楷体" w:hAnsi="华文楷体" w:eastAsia="华文楷体" w:cs="楷体"/>
          <w:b/>
          <w:bCs/>
          <w:sz w:val="32"/>
          <w:szCs w:val="32"/>
        </w:rPr>
      </w:pPr>
      <w:r>
        <w:rPr>
          <w:rFonts w:hint="eastAsia" w:ascii="宋体" w:hAnsi="宋体" w:eastAsia="宋体" w:cs="宋体"/>
          <w:b/>
          <w:bCs/>
          <w:color w:val="000000"/>
          <w:kern w:val="0"/>
          <w:sz w:val="32"/>
          <w:szCs w:val="32"/>
          <w:lang w:eastAsia="zh-CN"/>
        </w:rPr>
        <w:t>川南幼儿师范高等专科学校</w:t>
      </w:r>
      <w:r>
        <w:rPr>
          <w:rFonts w:hint="eastAsia" w:ascii="宋体" w:hAnsi="宋体" w:eastAsia="宋体" w:cs="宋体"/>
          <w:b/>
          <w:bCs/>
          <w:color w:val="000000"/>
          <w:kern w:val="0"/>
          <w:sz w:val="32"/>
          <w:szCs w:val="32"/>
        </w:rPr>
        <w:t>2022年单独招生考试</w:t>
      </w:r>
    </w:p>
    <w:p>
      <w:pPr>
        <w:spacing w:line="56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学前教育</w:t>
      </w:r>
      <w:r>
        <w:rPr>
          <w:rFonts w:hint="eastAsia" w:ascii="宋体" w:hAnsi="宋体" w:eastAsia="宋体" w:cs="宋体"/>
          <w:b/>
          <w:bCs/>
          <w:color w:val="000000"/>
          <w:kern w:val="0"/>
          <w:sz w:val="32"/>
          <w:szCs w:val="32"/>
          <w:lang w:val="en-US" w:eastAsia="zh-CN"/>
        </w:rPr>
        <w:t>/早期教育</w:t>
      </w:r>
      <w:r>
        <w:rPr>
          <w:rFonts w:hint="eastAsia" w:ascii="宋体" w:hAnsi="宋体" w:eastAsia="宋体" w:cs="宋体"/>
          <w:b/>
          <w:bCs/>
          <w:color w:val="000000"/>
          <w:kern w:val="0"/>
          <w:sz w:val="32"/>
          <w:szCs w:val="32"/>
        </w:rPr>
        <w:t>专业技能综合测试方案</w:t>
      </w:r>
    </w:p>
    <w:p>
      <w:pPr>
        <w:spacing w:line="560" w:lineRule="exact"/>
        <w:jc w:val="center"/>
        <w:rPr>
          <w:rFonts w:ascii="华文楷体" w:hAnsi="华文楷体" w:eastAsia="华文楷体" w:cs="楷体"/>
          <w:b/>
          <w:bCs/>
          <w:sz w:val="44"/>
          <w:szCs w:val="44"/>
        </w:rPr>
      </w:pP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bCs/>
          <w:sz w:val="28"/>
          <w:szCs w:val="28"/>
        </w:rPr>
      </w:pPr>
      <w:r>
        <w:rPr>
          <w:rFonts w:hint="eastAsia" w:ascii="黑体" w:hAnsi="黑体" w:eastAsia="黑体" w:cs="黑体"/>
          <w:b/>
          <w:bCs/>
          <w:sz w:val="28"/>
          <w:szCs w:val="28"/>
        </w:rPr>
        <w:t>一、适用专业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baseline"/>
        <w:rPr>
          <w:rFonts w:hint="eastAsia" w:ascii="仿宋" w:hAnsi="仿宋" w:eastAsia="仿宋" w:cs="仿宋"/>
          <w:sz w:val="28"/>
          <w:szCs w:val="28"/>
          <w:lang w:eastAsia="zh-CN"/>
        </w:rPr>
      </w:pPr>
      <w:r>
        <w:rPr>
          <w:rFonts w:hint="eastAsia" w:ascii="仿宋" w:hAnsi="仿宋" w:eastAsia="仿宋" w:cs="仿宋"/>
          <w:sz w:val="28"/>
          <w:szCs w:val="28"/>
        </w:rPr>
        <w:t>学前教育专业</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早期教育专业</w:t>
      </w:r>
    </w:p>
    <w:p>
      <w:pPr>
        <w:keepNext w:val="0"/>
        <w:keepLines w:val="0"/>
        <w:pageBreakBefore w:val="0"/>
        <w:kinsoku/>
        <w:wordWrap/>
        <w:overflowPunct/>
        <w:topLinePunct w:val="0"/>
        <w:autoSpaceDE/>
        <w:autoSpaceDN/>
        <w:bidi w:val="0"/>
        <w:adjustRightInd/>
        <w:snapToGrid/>
        <w:spacing w:line="520" w:lineRule="exact"/>
        <w:rPr>
          <w:rFonts w:ascii="仿宋" w:hAnsi="仿宋" w:eastAsia="仿宋" w:cs="仿宋"/>
          <w:sz w:val="28"/>
          <w:szCs w:val="28"/>
        </w:rPr>
      </w:pPr>
      <w:r>
        <w:rPr>
          <w:rFonts w:hint="eastAsia" w:ascii="黑体" w:hAnsi="黑体" w:eastAsia="黑体" w:cs="黑体"/>
          <w:b/>
          <w:bCs/>
          <w:sz w:val="28"/>
          <w:szCs w:val="28"/>
        </w:rPr>
        <w:t>二、面试目的</w:t>
      </w:r>
      <w:r>
        <w:rPr>
          <w:rFonts w:hint="eastAsia" w:ascii="黑体" w:hAnsi="黑体" w:eastAsia="黑体" w:cs="黑体"/>
          <w:sz w:val="28"/>
          <w:szCs w:val="28"/>
        </w:rPr>
        <w:t xml:space="preserve"> </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面向普通高中毕业生</w:t>
      </w:r>
      <w:r>
        <w:rPr>
          <w:rFonts w:hint="eastAsia" w:ascii="仿宋" w:hAnsi="仿宋" w:eastAsia="仿宋" w:cs="仿宋"/>
          <w:sz w:val="28"/>
          <w:szCs w:val="28"/>
          <w:lang w:eastAsia="zh-CN"/>
        </w:rPr>
        <w:t>和</w:t>
      </w:r>
      <w:r>
        <w:rPr>
          <w:rFonts w:hint="eastAsia" w:ascii="仿宋" w:hAnsi="仿宋" w:eastAsia="仿宋" w:cs="仿宋"/>
          <w:sz w:val="28"/>
          <w:szCs w:val="28"/>
        </w:rPr>
        <w:t>中等职业技术学校</w:t>
      </w:r>
      <w:r>
        <w:rPr>
          <w:rFonts w:hint="eastAsia" w:ascii="仿宋" w:hAnsi="仿宋" w:eastAsia="仿宋"/>
          <w:sz w:val="28"/>
          <w:szCs w:val="28"/>
        </w:rPr>
        <w:t>教育类</w:t>
      </w:r>
      <w:r>
        <w:rPr>
          <w:rFonts w:hint="eastAsia" w:ascii="仿宋" w:hAnsi="仿宋" w:eastAsia="仿宋" w:cs="仿宋"/>
          <w:sz w:val="28"/>
          <w:szCs w:val="28"/>
        </w:rPr>
        <w:t>的考生。此考试为单招考试的组成部分，适用于对口高职学前教育</w:t>
      </w:r>
      <w:r>
        <w:rPr>
          <w:rFonts w:hint="eastAsia" w:ascii="仿宋" w:hAnsi="仿宋" w:eastAsia="仿宋" w:cs="仿宋"/>
          <w:sz w:val="28"/>
          <w:szCs w:val="28"/>
          <w:lang w:eastAsia="zh-CN"/>
        </w:rPr>
        <w:t>、早期教育</w:t>
      </w:r>
      <w:r>
        <w:rPr>
          <w:rFonts w:hint="eastAsia" w:ascii="仿宋" w:hAnsi="仿宋" w:eastAsia="仿宋" w:cs="仿宋"/>
          <w:sz w:val="28"/>
          <w:szCs w:val="28"/>
        </w:rPr>
        <w:t>专业人才的选拔。</w:t>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bCs/>
          <w:sz w:val="28"/>
          <w:szCs w:val="28"/>
        </w:rPr>
      </w:pPr>
      <w:r>
        <w:rPr>
          <w:rFonts w:hint="eastAsia" w:ascii="黑体" w:hAnsi="黑体" w:eastAsia="黑体" w:cs="黑体"/>
          <w:b/>
          <w:bCs/>
          <w:sz w:val="28"/>
          <w:szCs w:val="28"/>
        </w:rPr>
        <w:t>三、面试依据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依据《四川省人民政府关于印发四川省深化考试招生制度改革实施方案的通知》（川府发〔2016〕20号）》《川南幼儿师范高等专科学校202</w:t>
      </w:r>
      <w:r>
        <w:rPr>
          <w:rFonts w:hint="eastAsia" w:ascii="仿宋" w:hAnsi="仿宋" w:eastAsia="仿宋" w:cs="仿宋"/>
          <w:sz w:val="28"/>
          <w:szCs w:val="28"/>
          <w:lang w:val="en-US" w:eastAsia="zh-CN"/>
        </w:rPr>
        <w:t>2</w:t>
      </w:r>
      <w:r>
        <w:rPr>
          <w:rFonts w:hint="eastAsia" w:ascii="仿宋" w:hAnsi="仿宋" w:eastAsia="仿宋" w:cs="仿宋"/>
          <w:sz w:val="28"/>
          <w:szCs w:val="28"/>
        </w:rPr>
        <w:t>年单独招生章程》等文件精神，结合普通高中和中等职业学校教学及生源实际，主要考核考生的专业认知能力和专业技能水平。</w:t>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bCs/>
          <w:sz w:val="28"/>
          <w:szCs w:val="28"/>
        </w:rPr>
      </w:pPr>
      <w:bookmarkStart w:id="0" w:name="_GoBack"/>
      <w:r>
        <w:rPr>
          <w:rFonts w:hint="eastAsia" w:ascii="黑体" w:hAnsi="黑体" w:eastAsia="黑体" w:cs="黑体"/>
          <w:b/>
          <w:bCs/>
          <w:sz w:val="28"/>
          <w:szCs w:val="28"/>
        </w:rPr>
        <w:t>四、面试内容及要求</w:t>
      </w:r>
    </w:p>
    <w:bookmarkEnd w:id="0"/>
    <w:tbl>
      <w:tblPr>
        <w:tblStyle w:val="5"/>
        <w:tblW w:w="9778" w:type="dxa"/>
        <w:tblInd w:w="0" w:type="dxa"/>
        <w:shd w:val="clear" w:color="auto" w:fill="FFFFFF" w:themeFill="background1"/>
        <w:tblLayout w:type="fixed"/>
        <w:tblCellMar>
          <w:top w:w="0" w:type="dxa"/>
          <w:left w:w="0" w:type="dxa"/>
          <w:bottom w:w="0" w:type="dxa"/>
          <w:right w:w="0" w:type="dxa"/>
        </w:tblCellMar>
      </w:tblPr>
      <w:tblGrid>
        <w:gridCol w:w="703"/>
        <w:gridCol w:w="664"/>
        <w:gridCol w:w="366"/>
        <w:gridCol w:w="466"/>
        <w:gridCol w:w="762"/>
        <w:gridCol w:w="4476"/>
        <w:gridCol w:w="738"/>
        <w:gridCol w:w="905"/>
        <w:gridCol w:w="698"/>
      </w:tblGrid>
      <w:tr>
        <w:tblPrEx>
          <w:shd w:val="clear" w:color="auto" w:fill="FFFFFF" w:themeFill="background1"/>
          <w:tblLayout w:type="fixed"/>
          <w:tblCellMar>
            <w:top w:w="0" w:type="dxa"/>
            <w:left w:w="0" w:type="dxa"/>
            <w:bottom w:w="0" w:type="dxa"/>
            <w:right w:w="0"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考生类别</w:t>
            </w:r>
          </w:p>
        </w:tc>
        <w:tc>
          <w:tcPr>
            <w:tcW w:w="6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面试模块</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面试</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形式</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面试</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内容</w:t>
            </w:r>
          </w:p>
        </w:tc>
        <w:tc>
          <w:tcPr>
            <w:tcW w:w="44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面试要求</w:t>
            </w:r>
          </w:p>
        </w:tc>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面试</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时间</w:t>
            </w:r>
          </w:p>
        </w:tc>
        <w:tc>
          <w:tcPr>
            <w:tcW w:w="9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面试</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分值</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所占比重</w:t>
            </w:r>
          </w:p>
        </w:tc>
      </w:tr>
      <w:tr>
        <w:tblPrEx>
          <w:tblLayout w:type="fixed"/>
          <w:tblCellMar>
            <w:top w:w="0" w:type="dxa"/>
            <w:left w:w="0" w:type="dxa"/>
            <w:bottom w:w="0" w:type="dxa"/>
            <w:right w:w="0" w:type="dxa"/>
          </w:tblCellMar>
        </w:tblPrEx>
        <w:trPr>
          <w:trHeight w:val="1495"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普</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w:t>
            </w:r>
          </w:p>
        </w:tc>
        <w:tc>
          <w:tcPr>
            <w:tcW w:w="6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思想</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现场</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问答</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职业认</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知</w:t>
            </w:r>
            <w:r>
              <w:rPr>
                <w:rFonts w:hint="eastAsia" w:ascii="仿宋" w:hAnsi="仿宋" w:eastAsia="仿宋" w:cs="仿宋"/>
                <w:color w:val="000000"/>
                <w:kern w:val="0"/>
                <w:sz w:val="24"/>
                <w:szCs w:val="24"/>
                <w:lang w:eastAsia="zh-CN" w:bidi="ar"/>
              </w:rPr>
              <w:t>题目</w:t>
            </w:r>
            <w:r>
              <w:rPr>
                <w:rFonts w:hint="eastAsia" w:ascii="仿宋" w:hAnsi="仿宋" w:eastAsia="仿宋" w:cs="仿宋"/>
                <w:color w:val="000000"/>
                <w:kern w:val="0"/>
                <w:sz w:val="24"/>
                <w:szCs w:val="24"/>
                <w:lang w:val="en-US" w:eastAsia="zh-CN" w:bidi="ar"/>
              </w:rPr>
              <w:t>2项(含普通话水平测试）</w:t>
            </w:r>
          </w:p>
        </w:tc>
        <w:tc>
          <w:tcPr>
            <w:tcW w:w="44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考核对学前教育专业的理解与作为幼儿教师的职业意识，以及逻辑思维能力，心理素质</w:t>
            </w:r>
            <w:r>
              <w:rPr>
                <w:rFonts w:hint="eastAsia" w:ascii="仿宋" w:hAnsi="仿宋" w:eastAsia="仿宋" w:cs="仿宋"/>
                <w:color w:val="000000"/>
                <w:kern w:val="0"/>
                <w:sz w:val="24"/>
                <w:szCs w:val="24"/>
                <w:lang w:eastAsia="zh-CN" w:bidi="ar"/>
              </w:rPr>
              <w:t>和普通话水平</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lang w:eastAsia="zh-CN" w:bidi="ar"/>
              </w:rPr>
              <w:t>。</w:t>
            </w:r>
          </w:p>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体态大方，精神饱满，着装得体，语音面貌良好，普通话流利</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能自然流畅地进行即兴说话</w:t>
            </w:r>
            <w:r>
              <w:rPr>
                <w:rFonts w:hint="eastAsia" w:ascii="仿宋" w:hAnsi="仿宋" w:eastAsia="仿宋" w:cs="仿宋"/>
                <w:color w:val="000000"/>
                <w:kern w:val="0"/>
                <w:sz w:val="24"/>
                <w:szCs w:val="24"/>
                <w:lang w:eastAsia="zh-CN" w:bidi="ar"/>
              </w:rPr>
              <w:t>，能</w:t>
            </w:r>
            <w:r>
              <w:rPr>
                <w:rFonts w:hint="eastAsia" w:ascii="仿宋" w:hAnsi="仿宋" w:eastAsia="仿宋" w:cs="仿宋"/>
                <w:color w:val="000000"/>
                <w:kern w:val="0"/>
                <w:sz w:val="24"/>
                <w:szCs w:val="24"/>
                <w:lang w:bidi="ar"/>
              </w:rPr>
              <w:t>清楚表达自己的看法、观点正确，求学意识强等方面进行综合评价。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2分钟</w:t>
            </w:r>
          </w:p>
        </w:tc>
        <w:tc>
          <w:tcPr>
            <w:tcW w:w="9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0分</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50</w:t>
            </w:r>
            <w:r>
              <w:rPr>
                <w:rFonts w:hint="eastAsia" w:ascii="仿宋" w:hAnsi="仿宋" w:eastAsia="仿宋" w:cs="仿宋"/>
                <w:color w:val="000000"/>
                <w:kern w:val="0"/>
                <w:sz w:val="24"/>
                <w:szCs w:val="24"/>
                <w:lang w:bidi="ar"/>
              </w:rPr>
              <w:t>%</w:t>
            </w:r>
          </w:p>
        </w:tc>
      </w:tr>
      <w:tr>
        <w:tblPrEx>
          <w:tblLayout w:type="fixed"/>
          <w:tblCellMar>
            <w:top w:w="0" w:type="dxa"/>
            <w:left w:w="0" w:type="dxa"/>
            <w:bottom w:w="0" w:type="dxa"/>
            <w:right w:w="0" w:type="dxa"/>
          </w:tblCellMar>
        </w:tblPrEx>
        <w:trPr>
          <w:trHeight w:val="4281"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素质</w:t>
            </w:r>
          </w:p>
        </w:tc>
        <w:tc>
          <w:tcPr>
            <w:tcW w:w="832" w:type="dxa"/>
            <w:gridSpan w:val="2"/>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才艺</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展示</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（单人）</w:t>
            </w:r>
          </w:p>
        </w:tc>
        <w:tc>
          <w:tcPr>
            <w:tcW w:w="762"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唱歌、跳舞、乐器、或其他才艺等，自选</w:t>
            </w:r>
            <w:r>
              <w:rPr>
                <w:rFonts w:hint="eastAsia" w:ascii="仿宋" w:hAnsi="仿宋" w:eastAsia="仿宋" w:cs="仿宋"/>
                <w:color w:val="000000"/>
                <w:kern w:val="0"/>
                <w:sz w:val="24"/>
                <w:szCs w:val="24"/>
                <w:lang w:eastAsia="zh-CN" w:bidi="ar"/>
              </w:rPr>
              <w:t>一</w:t>
            </w:r>
            <w:r>
              <w:rPr>
                <w:rFonts w:hint="eastAsia" w:ascii="仿宋" w:hAnsi="仿宋" w:eastAsia="仿宋" w:cs="仿宋"/>
                <w:color w:val="000000"/>
                <w:kern w:val="0"/>
                <w:sz w:val="24"/>
                <w:szCs w:val="24"/>
                <w:lang w:bidi="ar"/>
              </w:rPr>
              <w:t>项</w:t>
            </w:r>
            <w:r>
              <w:rPr>
                <w:rFonts w:hint="eastAsia" w:ascii="仿宋" w:hAnsi="仿宋" w:eastAsia="仿宋" w:cs="仿宋"/>
                <w:color w:val="000000"/>
                <w:kern w:val="0"/>
                <w:sz w:val="24"/>
                <w:szCs w:val="24"/>
                <w:lang w:eastAsia="zh-CN" w:bidi="ar"/>
              </w:rPr>
              <w:t>才艺</w:t>
            </w:r>
            <w:r>
              <w:rPr>
                <w:rFonts w:hint="eastAsia" w:ascii="仿宋" w:hAnsi="仿宋" w:eastAsia="仿宋" w:cs="仿宋"/>
                <w:color w:val="000000"/>
                <w:kern w:val="0"/>
                <w:sz w:val="24"/>
                <w:szCs w:val="24"/>
                <w:lang w:bidi="ar"/>
              </w:rPr>
              <w:t>进行现场展示</w:t>
            </w:r>
          </w:p>
        </w:tc>
        <w:tc>
          <w:tcPr>
            <w:tcW w:w="4476"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唱歌：自选一首歌曲片段清唱，从歌曲演唱音准、节奏、咬字、吐字、音质、演唱技巧和音乐表现力等方面予以综合评分。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跳舞：舞蹈种类不限，从舞蹈的动作、基本功、舞蹈风格、流畅连贯性、完整性、表现力方面给予综合评分。（可自备伴奏音乐和舞蹈服装）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乐器：种类不限（除钢琴外需自备乐器），从音准、节奏和音乐表现力等方面予以综合评分。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其他：如书法、绘画、相声、小品、健美操等（题材不限），从技能技巧、表现力等方面予以综合评分。</w:t>
            </w:r>
          </w:p>
        </w:tc>
        <w:tc>
          <w:tcPr>
            <w:tcW w:w="738" w:type="dxa"/>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2分钟</w:t>
            </w:r>
          </w:p>
        </w:tc>
        <w:tc>
          <w:tcPr>
            <w:tcW w:w="905"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100分</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r>
      <w:tr>
        <w:tblPrEx>
          <w:tblLayout w:type="fixed"/>
          <w:tblCellMar>
            <w:top w:w="0" w:type="dxa"/>
            <w:left w:w="0" w:type="dxa"/>
            <w:bottom w:w="0" w:type="dxa"/>
            <w:right w:w="0" w:type="dxa"/>
          </w:tblCellMar>
        </w:tblPrEx>
        <w:trPr>
          <w:trHeight w:val="380" w:hRule="atLeast"/>
        </w:trPr>
        <w:tc>
          <w:tcPr>
            <w:tcW w:w="8175"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总  计</w:t>
            </w:r>
          </w:p>
        </w:tc>
        <w:tc>
          <w:tcPr>
            <w:tcW w:w="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200分</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r>
      <w:tr>
        <w:tblPrEx>
          <w:tblLayout w:type="fixed"/>
          <w:tblCellMar>
            <w:top w:w="0" w:type="dxa"/>
            <w:left w:w="0" w:type="dxa"/>
            <w:bottom w:w="0" w:type="dxa"/>
            <w:right w:w="0" w:type="dxa"/>
          </w:tblCellMar>
        </w:tblPrEx>
        <w:trPr>
          <w:trHeight w:val="1331"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w:t>
            </w:r>
          </w:p>
        </w:tc>
        <w:tc>
          <w:tcPr>
            <w:tcW w:w="6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思想</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现场</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问答</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职业认</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知</w:t>
            </w:r>
            <w:r>
              <w:rPr>
                <w:rFonts w:hint="eastAsia" w:ascii="仿宋" w:hAnsi="仿宋" w:eastAsia="仿宋" w:cs="仿宋"/>
                <w:color w:val="000000"/>
                <w:kern w:val="0"/>
                <w:sz w:val="24"/>
                <w:szCs w:val="24"/>
                <w:lang w:eastAsia="zh-CN" w:bidi="ar"/>
              </w:rPr>
              <w:t>题目</w:t>
            </w:r>
            <w:r>
              <w:rPr>
                <w:rFonts w:hint="eastAsia" w:ascii="仿宋" w:hAnsi="仿宋" w:eastAsia="仿宋" w:cs="仿宋"/>
                <w:color w:val="000000"/>
                <w:kern w:val="0"/>
                <w:sz w:val="24"/>
                <w:szCs w:val="24"/>
                <w:lang w:val="en-US" w:eastAsia="zh-CN" w:bidi="ar"/>
              </w:rPr>
              <w:t>2项(含普通话水平测试）</w:t>
            </w:r>
          </w:p>
        </w:tc>
        <w:tc>
          <w:tcPr>
            <w:tcW w:w="44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考核对学前教育专业的理解与作为幼儿教师的职业意识，以及逻辑思维能力，心理素质</w:t>
            </w:r>
            <w:r>
              <w:rPr>
                <w:rFonts w:hint="eastAsia" w:ascii="仿宋" w:hAnsi="仿宋" w:eastAsia="仿宋" w:cs="仿宋"/>
                <w:color w:val="000000"/>
                <w:kern w:val="0"/>
                <w:sz w:val="24"/>
                <w:szCs w:val="24"/>
                <w:lang w:eastAsia="zh-CN" w:bidi="ar"/>
              </w:rPr>
              <w:t>和普通话水平</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lang w:eastAsia="zh-CN" w:bidi="ar"/>
              </w:rPr>
              <w:t>。</w:t>
            </w:r>
          </w:p>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体态大方，精神饱满，着装得体，语音面貌良好，普通话流利</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能自然流畅地进行即兴说话</w:t>
            </w:r>
            <w:r>
              <w:rPr>
                <w:rFonts w:hint="eastAsia" w:ascii="仿宋" w:hAnsi="仿宋" w:eastAsia="仿宋" w:cs="仿宋"/>
                <w:color w:val="000000"/>
                <w:kern w:val="0"/>
                <w:sz w:val="24"/>
                <w:szCs w:val="24"/>
                <w:lang w:eastAsia="zh-CN" w:bidi="ar"/>
              </w:rPr>
              <w:t>，能</w:t>
            </w:r>
            <w:r>
              <w:rPr>
                <w:rFonts w:hint="eastAsia" w:ascii="仿宋" w:hAnsi="仿宋" w:eastAsia="仿宋" w:cs="仿宋"/>
                <w:color w:val="000000"/>
                <w:kern w:val="0"/>
                <w:sz w:val="24"/>
                <w:szCs w:val="24"/>
                <w:lang w:bidi="ar"/>
              </w:rPr>
              <w:t>清楚表达自己的看法、观点正确，求学意识强等方面进行综合评价。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2分钟</w:t>
            </w:r>
          </w:p>
        </w:tc>
        <w:tc>
          <w:tcPr>
            <w:tcW w:w="9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0分</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50</w:t>
            </w:r>
            <w:r>
              <w:rPr>
                <w:rFonts w:hint="eastAsia" w:ascii="仿宋" w:hAnsi="仿宋" w:eastAsia="仿宋" w:cs="仿宋"/>
                <w:color w:val="000000"/>
                <w:kern w:val="0"/>
                <w:sz w:val="24"/>
                <w:szCs w:val="24"/>
                <w:lang w:bidi="ar"/>
              </w:rPr>
              <w:t>%</w:t>
            </w:r>
          </w:p>
        </w:tc>
      </w:tr>
      <w:tr>
        <w:tblPrEx>
          <w:tblLayout w:type="fixed"/>
          <w:tblCellMar>
            <w:top w:w="0" w:type="dxa"/>
            <w:left w:w="0" w:type="dxa"/>
            <w:bottom w:w="0" w:type="dxa"/>
            <w:right w:w="0" w:type="dxa"/>
          </w:tblCellMar>
        </w:tblPrEx>
        <w:trPr>
          <w:trHeight w:val="134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业</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能</w:t>
            </w:r>
          </w:p>
        </w:tc>
        <w:tc>
          <w:tcPr>
            <w:tcW w:w="366" w:type="dxa"/>
            <w:vMerge w:val="restart"/>
            <w:tcBorders>
              <w:top w:val="single" w:color="000000" w:sz="4" w:space="0"/>
              <w:left w:val="single" w:color="000000" w:sz="4" w:space="0"/>
              <w:right w:val="single" w:color="auto" w:sz="4" w:space="0"/>
            </w:tcBorders>
            <w:shd w:val="clear" w:color="auto" w:fill="FFFFFF" w:themeFill="background1"/>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三选</w:t>
            </w:r>
            <w:r>
              <w:rPr>
                <w:rFonts w:hint="eastAsia" w:ascii="仿宋" w:hAnsi="仿宋" w:eastAsia="仿宋" w:cs="仿宋"/>
                <w:color w:val="000000"/>
                <w:sz w:val="24"/>
                <w:szCs w:val="24"/>
                <w:lang w:eastAsia="zh-CN"/>
              </w:rPr>
              <w:t>一</w:t>
            </w:r>
          </w:p>
        </w:tc>
        <w:tc>
          <w:tcPr>
            <w:tcW w:w="466" w:type="dxa"/>
            <w:tcBorders>
              <w:top w:val="single" w:color="000000" w:sz="4" w:space="0"/>
              <w:left w:val="single" w:color="auto"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美术技能</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（集体）</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简笔画</w:t>
            </w:r>
          </w:p>
        </w:tc>
        <w:tc>
          <w:tcPr>
            <w:tcW w:w="4476"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单个物象，人物、动物、静物、植物每个种类各五个；自带绘画工具，</w:t>
            </w:r>
            <w:r>
              <w:rPr>
                <w:rFonts w:hint="eastAsia" w:ascii="仿宋" w:hAnsi="仿宋" w:eastAsia="仿宋" w:cs="仿宋"/>
                <w:color w:val="000000"/>
                <w:kern w:val="0"/>
                <w:sz w:val="24"/>
                <w:szCs w:val="24"/>
                <w:lang w:eastAsia="zh-CN" w:bidi="ar"/>
              </w:rPr>
              <w:t>招生单位准备画纸，</w:t>
            </w:r>
            <w:r>
              <w:rPr>
                <w:rFonts w:hint="eastAsia" w:ascii="仿宋" w:hAnsi="仿宋" w:eastAsia="仿宋" w:cs="仿宋"/>
                <w:color w:val="000000"/>
                <w:kern w:val="0"/>
                <w:sz w:val="24"/>
                <w:szCs w:val="24"/>
                <w:lang w:bidi="ar"/>
              </w:rPr>
              <w:t>若需要着色，自行准备水彩笔或彩铅，从卷面、构图、形象、绘画语言、造型、线条等进行综合评分</w:t>
            </w:r>
          </w:p>
        </w:tc>
        <w:tc>
          <w:tcPr>
            <w:tcW w:w="738"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20分钟</w:t>
            </w:r>
          </w:p>
        </w:tc>
        <w:tc>
          <w:tcPr>
            <w:tcW w:w="905"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100分</w:t>
            </w:r>
          </w:p>
        </w:tc>
        <w:tc>
          <w:tcPr>
            <w:tcW w:w="698"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r>
      <w:tr>
        <w:tblPrEx>
          <w:tblLayout w:type="fixed"/>
          <w:tblCellMar>
            <w:top w:w="0" w:type="dxa"/>
            <w:left w:w="0" w:type="dxa"/>
            <w:bottom w:w="0" w:type="dxa"/>
            <w:right w:w="0" w:type="dxa"/>
          </w:tblCellMar>
        </w:tblPrEx>
        <w:trPr>
          <w:trHeight w:val="17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366" w:type="dxa"/>
            <w:vMerge w:val="continue"/>
            <w:tcBorders>
              <w:left w:val="single" w:color="000000" w:sz="4" w:space="0"/>
              <w:right w:val="single" w:color="auto" w:sz="4" w:space="0"/>
            </w:tcBorders>
            <w:shd w:val="clear" w:color="auto" w:fill="FFFFFF" w:themeFill="background1"/>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466" w:type="dxa"/>
            <w:tcBorders>
              <w:top w:val="single" w:color="auto" w:sz="4" w:space="0"/>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音乐技能</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w:t>
            </w:r>
          </w:p>
        </w:tc>
        <w:tc>
          <w:tcPr>
            <w:tcW w:w="762"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唱歌</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\乐器</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(二选一）</w:t>
            </w:r>
          </w:p>
        </w:tc>
        <w:tc>
          <w:tcPr>
            <w:tcW w:w="4476" w:type="dxa"/>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唱歌：考生自选一首歌曲片段清唱，从歌曲演唱音准、节奏、咬字、吐字、音质、演唱技巧和音乐表现力等方面予以综合评分。</w:t>
            </w:r>
          </w:p>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乐器：种类不限（除钢琴外需自备乐器），从音准、节奏和音乐表现力等方面予以综合评分。</w:t>
            </w:r>
          </w:p>
        </w:tc>
        <w:tc>
          <w:tcPr>
            <w:tcW w:w="738"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2分钟</w:t>
            </w:r>
          </w:p>
        </w:tc>
        <w:tc>
          <w:tcPr>
            <w:tcW w:w="905"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9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1426"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366" w:type="dxa"/>
            <w:vMerge w:val="continue"/>
            <w:tcBorders>
              <w:left w:val="single" w:color="000000" w:sz="4" w:space="0"/>
              <w:right w:val="single" w:color="auto"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466"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舞蹈技能</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w:t>
            </w:r>
          </w:p>
        </w:tc>
        <w:tc>
          <w:tcPr>
            <w:tcW w:w="762" w:type="dxa"/>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成品</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舞蹈</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表演</w:t>
            </w:r>
          </w:p>
        </w:tc>
        <w:tc>
          <w:tcPr>
            <w:tcW w:w="4476" w:type="dxa"/>
            <w:tcBorders>
              <w:top w:val="single" w:color="auto"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舞蹈种类不限，从舞蹈的动作、基本功、舞蹈风格、流畅连贯性、完整性、表现力方面给予综合评分。（可自备伴奏音乐和舞蹈服装）</w:t>
            </w:r>
          </w:p>
        </w:tc>
        <w:tc>
          <w:tcPr>
            <w:tcW w:w="738" w:type="dxa"/>
            <w:tcBorders>
              <w:top w:val="single" w:color="auto"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2分钟</w:t>
            </w:r>
          </w:p>
        </w:tc>
        <w:tc>
          <w:tcPr>
            <w:tcW w:w="905"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仿宋" w:hAnsi="仿宋" w:eastAsia="仿宋" w:cs="仿宋"/>
                <w:color w:val="000000"/>
                <w:sz w:val="24"/>
                <w:szCs w:val="24"/>
              </w:rPr>
            </w:pPr>
          </w:p>
        </w:tc>
        <w:tc>
          <w:tcPr>
            <w:tcW w:w="69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70" w:hRule="atLeast"/>
        </w:trPr>
        <w:tc>
          <w:tcPr>
            <w:tcW w:w="8175"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总  计</w:t>
            </w:r>
          </w:p>
        </w:tc>
        <w:tc>
          <w:tcPr>
            <w:tcW w:w="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r>
              <w:rPr>
                <w:rFonts w:hint="eastAsia" w:ascii="仿宋" w:hAnsi="仿宋" w:eastAsia="仿宋" w:cs="仿宋"/>
                <w:color w:val="000000"/>
                <w:kern w:val="0"/>
                <w:sz w:val="24"/>
                <w:szCs w:val="24"/>
                <w:lang w:val="en-US" w:eastAsia="zh-CN" w:bidi="ar"/>
              </w:rPr>
              <w:t>0</w:t>
            </w:r>
            <w:r>
              <w:rPr>
                <w:rFonts w:hint="eastAsia" w:ascii="仿宋" w:hAnsi="仿宋" w:eastAsia="仿宋" w:cs="仿宋"/>
                <w:color w:val="000000"/>
                <w:kern w:val="0"/>
                <w:sz w:val="24"/>
                <w:szCs w:val="24"/>
                <w:lang w:bidi="ar"/>
              </w:rPr>
              <w:t>分</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bl>
    <w:p>
      <w:pPr>
        <w:spacing w:line="560" w:lineRule="exact"/>
        <w:rPr>
          <w:sz w:val="44"/>
          <w:szCs w:val="44"/>
        </w:rPr>
      </w:pPr>
    </w:p>
    <w:sectPr>
      <w:footerReference r:id="rId3" w:type="default"/>
      <w:pgSz w:w="11906" w:h="16838"/>
      <w:pgMar w:top="1531" w:right="1304"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005124"/>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21480"/>
    <w:rsid w:val="00197560"/>
    <w:rsid w:val="00260400"/>
    <w:rsid w:val="00597E3B"/>
    <w:rsid w:val="005B4145"/>
    <w:rsid w:val="006820DA"/>
    <w:rsid w:val="007105A6"/>
    <w:rsid w:val="00823404"/>
    <w:rsid w:val="0083069E"/>
    <w:rsid w:val="009233A2"/>
    <w:rsid w:val="00A214B6"/>
    <w:rsid w:val="00AC3C4B"/>
    <w:rsid w:val="00BD54AF"/>
    <w:rsid w:val="00BF1BC1"/>
    <w:rsid w:val="00C075F5"/>
    <w:rsid w:val="00C16CD6"/>
    <w:rsid w:val="00D76BA0"/>
    <w:rsid w:val="00E435B7"/>
    <w:rsid w:val="00FD07F5"/>
    <w:rsid w:val="025C4065"/>
    <w:rsid w:val="03E93EBC"/>
    <w:rsid w:val="0E4F0BBC"/>
    <w:rsid w:val="1A285BFE"/>
    <w:rsid w:val="1A3B05A4"/>
    <w:rsid w:val="2277503E"/>
    <w:rsid w:val="2B941D3E"/>
    <w:rsid w:val="2CFB6518"/>
    <w:rsid w:val="342B0466"/>
    <w:rsid w:val="351A323A"/>
    <w:rsid w:val="37C94AB6"/>
    <w:rsid w:val="393042C8"/>
    <w:rsid w:val="3AC21480"/>
    <w:rsid w:val="3C65556B"/>
    <w:rsid w:val="42A81CD3"/>
    <w:rsid w:val="45C251E2"/>
    <w:rsid w:val="48BD4107"/>
    <w:rsid w:val="4A7A4CF5"/>
    <w:rsid w:val="50A10CDA"/>
    <w:rsid w:val="53B2789B"/>
    <w:rsid w:val="5A840C19"/>
    <w:rsid w:val="6C6A025D"/>
    <w:rsid w:val="6E2051C3"/>
    <w:rsid w:val="78366D33"/>
    <w:rsid w:val="7E8B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11"/>
    <w:basedOn w:val="7"/>
    <w:qFormat/>
    <w:uiPriority w:val="0"/>
    <w:rPr>
      <w:rFonts w:hint="eastAsia" w:ascii="宋体" w:hAnsi="宋体" w:eastAsia="宋体" w:cs="宋体"/>
      <w:color w:val="000000"/>
      <w:sz w:val="22"/>
      <w:szCs w:val="22"/>
      <w:u w:val="none"/>
    </w:rPr>
  </w:style>
  <w:style w:type="character" w:customStyle="1" w:styleId="9">
    <w:name w:val="font01"/>
    <w:basedOn w:val="7"/>
    <w:qFormat/>
    <w:uiPriority w:val="0"/>
    <w:rPr>
      <w:rFonts w:hint="eastAsia" w:ascii="宋体" w:hAnsi="宋体" w:eastAsia="宋体" w:cs="宋体"/>
      <w:b/>
      <w:color w:val="000000"/>
      <w:sz w:val="22"/>
      <w:szCs w:val="22"/>
      <w:u w:val="none"/>
    </w:rPr>
  </w:style>
  <w:style w:type="character" w:customStyle="1" w:styleId="10">
    <w:name w:val="font41"/>
    <w:basedOn w:val="7"/>
    <w:qFormat/>
    <w:uiPriority w:val="0"/>
    <w:rPr>
      <w:rFonts w:hint="eastAsia" w:ascii="宋体" w:hAnsi="宋体" w:eastAsia="宋体" w:cs="宋体"/>
      <w:color w:val="000000"/>
      <w:sz w:val="18"/>
      <w:szCs w:val="18"/>
      <w:u w:val="none"/>
    </w:rPr>
  </w:style>
  <w:style w:type="character" w:customStyle="1" w:styleId="11">
    <w:name w:val="font21"/>
    <w:basedOn w:val="7"/>
    <w:qFormat/>
    <w:uiPriority w:val="0"/>
    <w:rPr>
      <w:rFonts w:hint="eastAsia" w:ascii="宋体" w:hAnsi="宋体" w:eastAsia="宋体" w:cs="宋体"/>
      <w:b/>
      <w:color w:val="000000"/>
      <w:sz w:val="18"/>
      <w:szCs w:val="18"/>
      <w:u w:val="none"/>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3">
    <w:name w:val="font31"/>
    <w:basedOn w:val="7"/>
    <w:qFormat/>
    <w:uiPriority w:val="0"/>
    <w:rPr>
      <w:rFonts w:hint="eastAsia" w:ascii="宋体" w:hAnsi="宋体" w:eastAsia="宋体" w:cs="宋体"/>
      <w:b/>
      <w:color w:val="000000"/>
      <w:sz w:val="18"/>
      <w:szCs w:val="18"/>
      <w:u w:val="none"/>
    </w:rPr>
  </w:style>
  <w:style w:type="character" w:customStyle="1" w:styleId="14">
    <w:name w:val="页眉 Char"/>
    <w:basedOn w:val="7"/>
    <w:link w:val="4"/>
    <w:qFormat/>
    <w:uiPriority w:val="0"/>
    <w:rPr>
      <w:rFonts w:asciiTheme="minorHAnsi" w:hAnsiTheme="minorHAnsi" w:eastAsiaTheme="minorEastAsia" w:cstheme="minorBidi"/>
      <w:kern w:val="2"/>
      <w:sz w:val="18"/>
      <w:szCs w:val="18"/>
    </w:rPr>
  </w:style>
  <w:style w:type="character" w:customStyle="1" w:styleId="15">
    <w:name w:val="页脚 Char"/>
    <w:basedOn w:val="7"/>
    <w:link w:val="3"/>
    <w:qFormat/>
    <w:uiPriority w:val="99"/>
    <w:rPr>
      <w:rFonts w:asciiTheme="minorHAnsi" w:hAnsiTheme="minorHAnsi" w:eastAsiaTheme="minorEastAsia" w:cstheme="minorBidi"/>
      <w:kern w:val="2"/>
      <w:sz w:val="18"/>
      <w:szCs w:val="18"/>
    </w:rPr>
  </w:style>
  <w:style w:type="character" w:customStyle="1" w:styleId="16">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402</Words>
  <Characters>2295</Characters>
  <Lines>19</Lines>
  <Paragraphs>5</Paragraphs>
  <TotalTime>0</TotalTime>
  <ScaleCrop>false</ScaleCrop>
  <LinksUpToDate>false</LinksUpToDate>
  <CharactersWithSpaces>2692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2020-02-18T09:36:00Z</dcterms:created>
  <dc:creator>Administrator</dc:creator>
  <cp:lastModifiedBy>风向北吹</cp:lastModifiedBy>
  <cp:lastPrinted>2021-01-15T01:35:00Z</cp:lastPrinted>
  <dcterms:modified xsi:type="dcterms:W3CDTF">2022-02-25T00:59:53Z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79FE994DF08944818AB17797152EF8AB</vt:lpwstr>
  </property>
</Properties>
</file>