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湖南信息职业技术学院20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/>
          <w:b/>
          <w:sz w:val="32"/>
          <w:szCs w:val="32"/>
        </w:rPr>
        <w:t>年单独招生考试大纲</w:t>
      </w:r>
    </w:p>
    <w:p>
      <w:pPr>
        <w:shd w:val="clear"/>
        <w:jc w:val="center"/>
        <w:rPr>
          <w:rFonts w:hint="eastAsia" w:ascii="宋体" w:hAnsi="宋体" w:eastAsia="宋体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/>
          <w:b/>
          <w:bCs w:val="0"/>
          <w:color w:val="auto"/>
          <w:sz w:val="32"/>
          <w:szCs w:val="32"/>
          <w:highlight w:val="none"/>
          <w:lang w:val="en-US" w:eastAsia="zh-CN"/>
        </w:rPr>
        <w:t>职业技能测试A组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楷体" w:hAnsi="楷体" w:eastAsia="楷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中职类考生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本考试大纲以教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育部颁布的《中等职业学校电子技术应用专业教学标准（试行）》和湖南省教育厅《2022 年湖南省普通高等学校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对口招生考试基本要求和考试大纲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（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湘教发〔2021〕46 号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）》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电子电工类专业综合知识考试基本要求及考试大纲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相关内容为依据，结合湖南省教育厅《关于做好2022年高职（高专）院校单独招生工作的通知》相关文件精神制定。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本考试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大纲</w:t>
      </w:r>
      <w:r>
        <w:rPr>
          <w:rFonts w:hint="eastAsia" w:ascii="楷体" w:hAnsi="楷体" w:eastAsia="楷体"/>
          <w:sz w:val="28"/>
          <w:szCs w:val="28"/>
        </w:rPr>
        <w:t>主要测试报考我院的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中职考生的职业技能、专业基础知识等相关内容</w:t>
      </w:r>
      <w:r>
        <w:rPr>
          <w:rFonts w:hint="eastAsia" w:ascii="楷体" w:hAnsi="楷体" w:eastAsia="楷体"/>
          <w:sz w:val="28"/>
          <w:szCs w:val="28"/>
        </w:rPr>
        <w:t>及运用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相关</w:t>
      </w:r>
      <w:r>
        <w:rPr>
          <w:rFonts w:hint="eastAsia" w:ascii="楷体" w:hAnsi="楷体" w:eastAsia="楷体"/>
          <w:sz w:val="28"/>
          <w:szCs w:val="28"/>
        </w:rPr>
        <w:t>知识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和技能</w:t>
      </w:r>
      <w:r>
        <w:rPr>
          <w:rFonts w:hint="eastAsia" w:ascii="楷体" w:hAnsi="楷体" w:eastAsia="楷体"/>
          <w:sz w:val="28"/>
          <w:szCs w:val="28"/>
        </w:rPr>
        <w:t>解决实际问题的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能力。注重考查专业基础知识和基本技能，及从事电子产品的安装、调试、维修和服务等一线工作所必备的基本职业素质。引导学生养成良好的学习习惯、实践意识、创新意识和实事求是的科学态度，为适应今后的学习、工作和生活打下必要的基础。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注重考查考生的电子技术相关专业知识、专业技能和解决实际问题的能力，及从事电子产品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安装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与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调试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、测试与维修、生产与管理等一线工作所必备的职业道德、职业素质、交流合作和创新意识等职业能力。引导学生养成良好的学习习惯、实践意识、创新意识和实事求是的科学态度，为适应今后的学习、工作和生活打下必要的基础。</w:t>
      </w: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一</w:t>
      </w:r>
      <w:r>
        <w:rPr>
          <w:rFonts w:ascii="楷体" w:hAnsi="楷体" w:eastAsia="楷体"/>
          <w:b/>
          <w:bCs/>
          <w:sz w:val="28"/>
          <w:szCs w:val="28"/>
        </w:rPr>
        <w:t>、</w:t>
      </w:r>
      <w:r>
        <w:rPr>
          <w:rFonts w:hint="eastAsia" w:ascii="楷体" w:hAnsi="楷体" w:eastAsia="楷体"/>
          <w:b/>
          <w:bCs/>
          <w:sz w:val="28"/>
          <w:szCs w:val="28"/>
        </w:rPr>
        <w:t>考试形式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本考试为闭卷考试，采取机试（无纸化考试）的形式。</w:t>
      </w: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二、考试时量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考试时间为60分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钟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试卷内容、题型、题量及分值</w:t>
      </w:r>
    </w:p>
    <w:p>
      <w:pPr>
        <w:snapToGrid w:val="0"/>
        <w:spacing w:line="360" w:lineRule="auto"/>
        <w:ind w:firstLine="42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本考试满分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</w:rPr>
        <w:t>0分，题型、形式、题量及分值分布见下表。</w:t>
      </w:r>
    </w:p>
    <w:tbl>
      <w:tblPr>
        <w:tblStyle w:val="5"/>
        <w:tblW w:w="48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73"/>
        <w:gridCol w:w="1273"/>
        <w:gridCol w:w="1273"/>
        <w:gridCol w:w="127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auto" w:sz="12" w:space="0"/>
              <w:left w:val="nil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单选题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判断题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多选</w:t>
            </w: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</w:rPr>
              <w:t>题</w:t>
            </w:r>
          </w:p>
        </w:tc>
        <w:tc>
          <w:tcPr>
            <w:tcW w:w="770" w:type="pct"/>
            <w:tcBorders>
              <w:top w:val="single" w:color="auto" w:sz="12" w:space="0"/>
              <w:bottom w:val="single" w:color="000000" w:sz="12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分析题</w:t>
            </w:r>
          </w:p>
        </w:tc>
        <w:tc>
          <w:tcPr>
            <w:tcW w:w="771" w:type="pct"/>
            <w:tcBorders>
              <w:top w:val="single" w:color="auto" w:sz="12" w:space="0"/>
              <w:bottom w:val="single" w:color="000000" w:sz="12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top w:val="single" w:color="000000" w:sz="12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数量（道）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1" w:type="pct"/>
            <w:tcBorders>
              <w:top w:val="single" w:color="000000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分值（分）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771" w:type="pc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8" w:type="pct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分值合计（分）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771" w:type="pct"/>
            <w:tcBorders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</w:tbl>
    <w:p>
      <w:pPr>
        <w:snapToGrid w:val="0"/>
        <w:spacing w:line="360" w:lineRule="auto"/>
        <w:rPr>
          <w:rFonts w:ascii="楷体" w:hAnsi="楷体" w:eastAsia="楷体"/>
          <w:sz w:val="28"/>
          <w:szCs w:val="28"/>
        </w:rPr>
      </w:pPr>
    </w:p>
    <w:p>
      <w:pPr>
        <w:snapToGrid w:val="0"/>
        <w:spacing w:line="360" w:lineRule="auto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四、考试范围和要求</w:t>
      </w:r>
    </w:p>
    <w:p>
      <w:pPr>
        <w:widowControl/>
        <w:shd w:val="clear" w:color="auto" w:fill="FFFFFF"/>
        <w:jc w:val="left"/>
        <w:textAlignment w:val="center"/>
        <w:rPr>
          <w:rFonts w:hint="default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 xml:space="preserve">1. 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  <w:t>职业技能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考试内容：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职业道德与职业素养；常用器件的识别与检测；常用仪器仪表的基本使用与维护；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电子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产品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的维护与使用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、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安装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与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调试；常见故障进行分析及排除。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考试要求：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爱国爱党，诚信友善，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具有良好的职业道德与职业素养，能自觉遵守行业法规、规范和企业规章制度。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（2）具备良好的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人际交往能力、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表达沟通</w:t>
      </w: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能力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及团队合作</w:t>
      </w:r>
      <w:r>
        <w:rPr>
          <w:rFonts w:hint="eastAsia" w:ascii="楷体" w:hAnsi="楷体" w:eastAsia="楷体"/>
          <w:sz w:val="28"/>
          <w:szCs w:val="28"/>
          <w:shd w:val="clear" w:color="auto" w:fill="FFFFFF"/>
          <w:lang w:val="en-US" w:eastAsia="zh-CN"/>
        </w:rPr>
        <w:t>精神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 xml:space="preserve">。 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（3）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能识别常用电子元器件，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能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使用仪器仪表检测常用电子元器件。</w:t>
      </w:r>
    </w:p>
    <w:p>
      <w:pPr>
        <w:snapToGrid w:val="0"/>
        <w:spacing w:line="360" w:lineRule="auto"/>
        <w:ind w:firstLine="560" w:firstLineChars="200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（4）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能熟练使用常用电工电子工具、仪器和仪表。</w:t>
      </w:r>
    </w:p>
    <w:p>
      <w:pPr>
        <w:widowControl/>
        <w:snapToGrid w:val="0"/>
        <w:spacing w:line="360" w:lineRule="auto"/>
        <w:ind w:firstLine="560" w:firstLineChars="200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（5）掌握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电子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产品的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维护与使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用、安装与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调试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方法。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（6）掌握电子产品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常见故障进行分析及排除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方法。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（7）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会检测典型电路的功能和参数，并对测试结果进行评估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，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分析和排除典型电路的常见故障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。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（8）具备安全、环保、节能意识和规范操作意识，掌握安全用电相关知识和技能。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（9）具备获取信息、学习新知识的能力，具备职业竞争和创新意识。</w:t>
      </w:r>
    </w:p>
    <w:p>
      <w:pPr>
        <w:widowControl/>
        <w:shd w:val="clear" w:color="auto" w:fill="FFFFFF"/>
        <w:jc w:val="left"/>
        <w:textAlignment w:val="center"/>
        <w:rPr>
          <w:rFonts w:hint="default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 xml:space="preserve">. </w:t>
      </w: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  <w:lang w:val="en-US" w:eastAsia="zh-CN"/>
        </w:rPr>
        <w:t>专业基础知识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考试内容：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电工技术、电子技术专业基础知识；电子产品装配与修护、常用传感器、单片机和PLC等相关基本知识。</w:t>
      </w:r>
    </w:p>
    <w:p>
      <w:pPr>
        <w:widowControl/>
        <w:shd w:val="clear" w:color="auto" w:fill="FFFFFF"/>
        <w:jc w:val="left"/>
        <w:textAlignment w:val="center"/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333333"/>
          <w:kern w:val="0"/>
          <w:sz w:val="28"/>
          <w:szCs w:val="28"/>
        </w:rPr>
        <w:t>考试要求：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（1）电工技术专业知识：掌握元器件的识别与应用、仪器仪表的使用与操作；熟悉</w:t>
      </w:r>
      <w:r>
        <w:rPr>
          <w:rFonts w:hint="eastAsia" w:ascii="Times New Roman" w:hAnsi="Times New Roman" w:eastAsia="楷体" w:cs="Times New Roman"/>
          <w:sz w:val="28"/>
          <w:szCs w:val="28"/>
        </w:rPr>
        <w:t>电路的作用与组成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掌握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电流、电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压、电阻、电功率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的概念和计算；</w:t>
      </w:r>
      <w:r>
        <w:rPr>
          <w:rFonts w:hint="eastAsia" w:ascii="Times New Roman" w:hAnsi="Times New Roman" w:eastAsia="楷体" w:cs="Times New Roman"/>
          <w:sz w:val="28"/>
          <w:szCs w:val="28"/>
        </w:rPr>
        <w:t>掌握电阻的串并联特点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楷体" w:cs="Times New Roman"/>
          <w:sz w:val="28"/>
          <w:szCs w:val="28"/>
        </w:rPr>
        <w:t>掌握欧姆定律、基尔霍夫定律及应用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楷体" w:cs="Times New Roman"/>
          <w:sz w:val="28"/>
          <w:szCs w:val="28"/>
        </w:rPr>
        <w:t>理解简单直流电路的计算方法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掌握电感的基本特性，电感的自感、互感及其感应电动势；掌握正弦交流电的基本概念；</w:t>
      </w:r>
      <w:r>
        <w:rPr>
          <w:rFonts w:hint="eastAsia" w:ascii="Times New Roman" w:hAnsi="Times New Roman" w:eastAsia="楷体" w:cs="Times New Roman"/>
          <w:sz w:val="28"/>
          <w:szCs w:val="28"/>
        </w:rPr>
        <w:t>了解</w:t>
      </w:r>
      <w:r>
        <w:rPr>
          <w:rFonts w:hint="eastAsia" w:eastAsia="楷体" w:cs="Times New Roman"/>
          <w:sz w:val="28"/>
          <w:szCs w:val="28"/>
        </w:rPr>
        <w:t>谐振电路</w:t>
      </w:r>
      <w:r>
        <w:rPr>
          <w:rFonts w:hint="eastAsia" w:ascii="Times New Roman" w:hAnsi="Times New Roman" w:eastAsia="楷体" w:cs="Times New Roman"/>
          <w:sz w:val="28"/>
          <w:szCs w:val="28"/>
        </w:rPr>
        <w:t>的类型、特点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。</w:t>
      </w:r>
    </w:p>
    <w:p>
      <w:pPr>
        <w:widowControl/>
        <w:snapToGrid w:val="0"/>
        <w:spacing w:line="360" w:lineRule="auto"/>
        <w:ind w:firstLine="560" w:firstLineChars="200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2）模拟电子技术专业知识：掌握半导体特性，熟悉二极管类型和基本特征及判别方法，熟悉三极管的基本结构、工作原理和主要参数；掌握共射放大电路的工作原理及静态工作点的计算；掌握功率放大电路的类型、工作原理、组成和特点；掌握反馈的类型特点、</w:t>
      </w:r>
      <w:r>
        <w:rPr>
          <w:rFonts w:eastAsia="楷体" w:cs="Times New Roman"/>
          <w:sz w:val="28"/>
          <w:szCs w:val="28"/>
        </w:rPr>
        <w:t>工作原理和分析计算方法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；</w:t>
      </w:r>
      <w:r>
        <w:rPr>
          <w:rFonts w:eastAsia="楷体" w:cs="Times New Roman"/>
          <w:sz w:val="28"/>
          <w:szCs w:val="28"/>
        </w:rPr>
        <w:t>了解集成电路引脚功能，性能指标</w:t>
      </w:r>
      <w:r>
        <w:rPr>
          <w:rFonts w:hint="eastAsia" w:eastAsia="楷体" w:cs="Times New Roman"/>
          <w:sz w:val="28"/>
          <w:szCs w:val="28"/>
          <w:lang w:eastAsia="zh-CN"/>
        </w:rPr>
        <w:t>；</w:t>
      </w:r>
      <w:r>
        <w:rPr>
          <w:rFonts w:eastAsia="楷体" w:cs="Times New Roman"/>
          <w:sz w:val="28"/>
          <w:szCs w:val="28"/>
        </w:rPr>
        <w:t>掌握运算放大电路的工作原理和分析方法</w:t>
      </w:r>
      <w:r>
        <w:rPr>
          <w:rFonts w:hint="eastAsia" w:eastAsia="楷体" w:cs="Times New Roman"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掌握串联型稳压电源电路的组成结构、工作原理和检测维修方法。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（3）数字电子技术专业知识：</w:t>
      </w:r>
      <w:r>
        <w:rPr>
          <w:rFonts w:eastAsia="楷体" w:cs="Times New Roman"/>
          <w:sz w:val="28"/>
          <w:szCs w:val="28"/>
        </w:rPr>
        <w:t>了解数字电路的特点及分类，</w:t>
      </w:r>
      <w:r>
        <w:rPr>
          <w:rFonts w:hint="eastAsia" w:eastAsia="楷体" w:cs="Times New Roman"/>
          <w:sz w:val="28"/>
          <w:szCs w:val="28"/>
          <w:lang w:val="en-US" w:eastAsia="zh-CN"/>
        </w:rPr>
        <w:t>掌握</w:t>
      </w:r>
      <w:r>
        <w:rPr>
          <w:rFonts w:eastAsia="楷体" w:cs="Times New Roman"/>
          <w:sz w:val="28"/>
          <w:szCs w:val="28"/>
        </w:rPr>
        <w:t>数制编码</w:t>
      </w:r>
      <w:r>
        <w:rPr>
          <w:rFonts w:hint="eastAsia" w:eastAsia="楷体" w:cs="Times New Roman"/>
          <w:sz w:val="28"/>
          <w:szCs w:val="28"/>
          <w:lang w:val="en-US" w:eastAsia="zh-CN"/>
        </w:rPr>
        <w:t>译码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；掌握基本逻辑门电路的特点；</w:t>
      </w:r>
      <w:r>
        <w:rPr>
          <w:rFonts w:eastAsia="楷体" w:cs="Times New Roman"/>
          <w:sz w:val="28"/>
          <w:szCs w:val="28"/>
        </w:rPr>
        <w:t>掌握逻辑代数的基本运算法则、基本公式、基本定理和化简方法；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熟悉逻辑电路和时序逻辑电路的特点，掌握常见组合的逻辑电路和时序逻辑电路；</w:t>
      </w:r>
      <w:r>
        <w:rPr>
          <w:rFonts w:eastAsia="楷体" w:cs="Times New Roman"/>
          <w:sz w:val="28"/>
          <w:szCs w:val="28"/>
        </w:rPr>
        <w:t>了解寄存器、计数器等中规模集成电路的使用方法；了解脉冲产生和整形电路的电路结构、工作原理、特点</w:t>
      </w:r>
      <w:r>
        <w:rPr>
          <w:rFonts w:hint="eastAsia" w:eastAsia="楷体" w:cs="Times New Roman"/>
          <w:sz w:val="28"/>
          <w:szCs w:val="28"/>
        </w:rPr>
        <w:t>；</w:t>
      </w:r>
      <w:r>
        <w:rPr>
          <w:rFonts w:eastAsia="楷体" w:cs="Times New Roman"/>
          <w:sz w:val="28"/>
          <w:szCs w:val="28"/>
        </w:rPr>
        <w:t>掌握555电路各引脚功能极其典型应用；了解D/A,A/D转换电路组成与工作原理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（4）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掌握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生活中常见传感器的类型、功能和特点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（5）熟悉单片机的作用，掌握51</w:t>
      </w:r>
      <w:r>
        <w:rPr>
          <w:rFonts w:hint="default" w:ascii="楷体" w:hAnsi="楷体" w:eastAsia="楷体"/>
          <w:sz w:val="28"/>
          <w:szCs w:val="28"/>
          <w:lang w:val="en-US" w:eastAsia="zh-CN"/>
        </w:rPr>
        <w:t>单片机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的结构、特点和应用，了解单片机的发展趋势。</w:t>
      </w:r>
    </w:p>
    <w:p>
      <w:pPr>
        <w:snapToGrid w:val="0"/>
        <w:spacing w:line="360" w:lineRule="auto"/>
        <w:ind w:firstLine="560" w:firstLineChars="200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（6）熟悉PLC的作用，熟悉PLC控制原理与应用。</w:t>
      </w:r>
    </w:p>
    <w:p>
      <w:pPr>
        <w:widowControl/>
        <w:shd w:val="clear" w:color="auto" w:fill="FFFFFF"/>
        <w:ind w:firstLine="562" w:firstLineChars="200"/>
        <w:jc w:val="left"/>
        <w:textAlignment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五、题型解释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单选题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</w:rPr>
        <w:t>0题，每题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120</w:t>
      </w:r>
      <w:r>
        <w:rPr>
          <w:rFonts w:hint="eastAsia" w:ascii="楷体" w:hAnsi="楷体" w:eastAsia="楷体"/>
          <w:sz w:val="28"/>
          <w:szCs w:val="28"/>
        </w:rPr>
        <w:t>分。以单选题形式考查，每题中四个选项里只有一个是正确项。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2.判断题</w:t>
      </w:r>
      <w:r>
        <w:rPr>
          <w:rFonts w:hint="eastAsia" w:ascii="楷体" w:hAnsi="楷体" w:eastAsia="楷体"/>
          <w:sz w:val="28"/>
          <w:szCs w:val="28"/>
        </w:rPr>
        <w:t>，共1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</w:rPr>
        <w:t>分。以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判断</w:t>
      </w:r>
      <w:r>
        <w:rPr>
          <w:rFonts w:hint="eastAsia" w:ascii="楷体" w:hAnsi="楷体" w:eastAsia="楷体"/>
          <w:sz w:val="28"/>
          <w:szCs w:val="28"/>
        </w:rPr>
        <w:t>形式考查，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判断对或者错，</w:t>
      </w:r>
      <w:r>
        <w:rPr>
          <w:rFonts w:hint="eastAsia" w:ascii="楷体" w:hAnsi="楷体" w:eastAsia="楷体"/>
          <w:sz w:val="28"/>
          <w:szCs w:val="28"/>
        </w:rPr>
        <w:t>每题中只有一个是正确项。</w:t>
      </w:r>
    </w:p>
    <w:p>
      <w:pPr>
        <w:spacing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多选题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题，每题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分，总分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/>
          <w:sz w:val="28"/>
          <w:szCs w:val="28"/>
        </w:rPr>
        <w:t>分。以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多</w:t>
      </w:r>
      <w:r>
        <w:rPr>
          <w:rFonts w:hint="eastAsia" w:ascii="楷体" w:hAnsi="楷体" w:eastAsia="楷体"/>
          <w:sz w:val="28"/>
          <w:szCs w:val="28"/>
        </w:rPr>
        <w:t>选题形式考查，每题中四个选项里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有两个或两个以上的正确项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楷体" w:hAnsi="楷体" w:eastAsia="楷体"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.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分析</w:t>
      </w:r>
      <w:r>
        <w:rPr>
          <w:rFonts w:hint="eastAsia" w:ascii="楷体" w:hAnsi="楷体" w:eastAsia="楷体"/>
          <w:b/>
          <w:sz w:val="28"/>
          <w:szCs w:val="28"/>
        </w:rPr>
        <w:t>题</w:t>
      </w:r>
      <w:r>
        <w:rPr>
          <w:rFonts w:hint="eastAsia" w:ascii="楷体" w:hAnsi="楷体" w:eastAsia="楷体"/>
          <w:sz w:val="28"/>
          <w:szCs w:val="28"/>
        </w:rPr>
        <w:t>，共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题，总分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75</w:t>
      </w:r>
      <w:r>
        <w:rPr>
          <w:rFonts w:hint="eastAsia" w:ascii="楷体" w:hAnsi="楷体" w:eastAsia="楷体"/>
          <w:sz w:val="28"/>
          <w:szCs w:val="28"/>
        </w:rPr>
        <w:t>分。以选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择</w:t>
      </w:r>
      <w:r>
        <w:rPr>
          <w:rFonts w:hint="eastAsia" w:ascii="楷体" w:hAnsi="楷体" w:eastAsia="楷体"/>
          <w:sz w:val="28"/>
          <w:szCs w:val="28"/>
        </w:rPr>
        <w:t>题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含单选和多选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形式考查。</w:t>
      </w: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/>
          <w:color w:val="FF0000"/>
          <w:sz w:val="28"/>
          <w:szCs w:val="28"/>
          <w:highlight w:val="none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BBFB6"/>
    <w:multiLevelType w:val="singleLevel"/>
    <w:tmpl w:val="CA4BBF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B347A"/>
    <w:rsid w:val="00B70114"/>
    <w:rsid w:val="09AB347A"/>
    <w:rsid w:val="0BFA7918"/>
    <w:rsid w:val="1DEB00FA"/>
    <w:rsid w:val="20892068"/>
    <w:rsid w:val="2F0A5C06"/>
    <w:rsid w:val="37D11508"/>
    <w:rsid w:val="520032F6"/>
    <w:rsid w:val="68E60D0D"/>
    <w:rsid w:val="7D9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8"/>
      <w:szCs w:val="48"/>
      <w:lang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line="300" w:lineRule="auto"/>
      <w:ind w:left="181" w:hanging="181"/>
      <w:jc w:val="left"/>
      <w:outlineLvl w:val="1"/>
    </w:pPr>
    <w:rPr>
      <w:rFonts w:ascii="宋体" w:hAnsi="宋体" w:eastAsia="宋体" w:cs="宋体"/>
      <w:b/>
      <w:bCs/>
      <w:kern w:val="2"/>
      <w:sz w:val="2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eastAsia="微软雅黑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标题 1 字符"/>
    <w:link w:val="2"/>
    <w:qFormat/>
    <w:uiPriority w:val="0"/>
    <w:rPr>
      <w:rFonts w:ascii="宋体" w:hAnsi="宋体" w:eastAsia="宋体" w:cs="宋体"/>
      <w:b/>
      <w:color w:val="000000"/>
      <w:sz w:val="36"/>
      <w:lang w:eastAsia="zh-CN" w:bidi="ar-SA"/>
    </w:rPr>
  </w:style>
  <w:style w:type="character" w:customStyle="1" w:styleId="8">
    <w:name w:val="标题 2 字符"/>
    <w:link w:val="3"/>
    <w:qFormat/>
    <w:uiPriority w:val="0"/>
    <w:rPr>
      <w:rFonts w:ascii="宋体" w:hAnsi="宋体" w:eastAsia="宋体" w:cs="宋体"/>
      <w:b/>
      <w:color w:val="000000"/>
      <w:kern w:val="2"/>
      <w:sz w:val="30"/>
      <w:lang w:eastAsia="zh-CN"/>
    </w:rPr>
  </w:style>
  <w:style w:type="paragraph" w:customStyle="1" w:styleId="9">
    <w:name w:val="样式1"/>
    <w:basedOn w:val="1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2022-03-01T15:31:00Z</dcterms:created>
  <dc:creator>LI</dc:creator>
  <cp:lastModifiedBy>LI</cp:lastModifiedBy>
  <dcterms:modified xsi:type="dcterms:W3CDTF">2022-03-01T15:34:23Z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D090562D1EB2477D88AA3855F2765F17</vt:lpwstr>
  </property>
</Properties>
</file>