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44"/>
          <w:szCs w:val="44"/>
        </w:rPr>
      </w:pPr>
      <w:bookmarkStart w:id="0" w:name="_GoBack"/>
      <w:bookmarkEnd w:id="0"/>
      <w:r>
        <w:rPr>
          <w:rFonts w:hint="eastAsia" w:ascii="黑体" w:hAnsi="黑体" w:eastAsia="黑体"/>
          <w:sz w:val="44"/>
          <w:szCs w:val="44"/>
        </w:rPr>
        <w:t>河套学院水利水电工程专业职业适应性测试说明</w:t>
      </w:r>
    </w:p>
    <w:p>
      <w:pPr>
        <w:pStyle w:val="5"/>
        <w:widowControl/>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本说明适用于水利水电工程专业退役大学生士兵。</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结合退役大学生士兵考生应当具备的基本素养和所报考水利水电工程专业的学习要求，主要测试考生以下几个方面的素质与能力：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重点考查考生对所报考专业的基本认知、定位以及从事所报考专业的职业岗位工作所需的潜质和兴趣等。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ind w:firstLine="600" w:firstLineChars="200"/>
        <w:rPr>
          <w:rFonts w:ascii="仿宋" w:hAnsi="仿宋" w:eastAsia="仿宋" w:cs="仿宋"/>
          <w:color w:val="000000" w:themeColor="text1"/>
          <w:kern w:val="2"/>
          <w:sz w:val="30"/>
          <w:szCs w:val="30"/>
          <w14:textFill>
            <w14:solidFill>
              <w14:schemeClr w14:val="tx1"/>
            </w14:solidFill>
          </w14:textFill>
        </w:rPr>
      </w:pPr>
      <w:r>
        <w:rPr>
          <w:rFonts w:hint="eastAsia" w:ascii="仿宋" w:hAnsi="仿宋" w:eastAsia="仿宋" w:cs="仿宋"/>
          <w:color w:val="000000" w:themeColor="text1"/>
          <w:kern w:val="2"/>
          <w:sz w:val="30"/>
          <w:szCs w:val="30"/>
          <w14:textFill>
            <w14:solidFill>
              <w14:schemeClr w14:val="tx1"/>
            </w14:solidFill>
          </w14:textFill>
        </w:rPr>
        <w:t>重点考查考生对水利水电工程专业基本技能的掌握程度以及是否具备解决实际问题的能力。</w:t>
      </w:r>
    </w:p>
    <w:p>
      <w:pPr>
        <w:pStyle w:val="5"/>
        <w:widowControl/>
        <w:ind w:firstLine="600" w:firstLineChars="200"/>
        <w:rPr>
          <w:rFonts w:ascii="仿宋" w:hAnsi="仿宋" w:eastAsia="仿宋" w:cs="仿宋"/>
          <w:color w:val="000000" w:themeColor="text1"/>
          <w:kern w:val="2"/>
          <w:sz w:val="30"/>
          <w:szCs w:val="30"/>
          <w14:textFill>
            <w14:solidFill>
              <w14:schemeClr w14:val="tx1"/>
            </w14:solidFill>
          </w14:textFill>
        </w:rPr>
      </w:pPr>
      <w:r>
        <w:rPr>
          <w:rFonts w:hint="eastAsia" w:ascii="仿宋" w:hAnsi="仿宋" w:eastAsia="仿宋" w:cs="仿宋"/>
          <w:color w:val="000000" w:themeColor="text1"/>
          <w:kern w:val="2"/>
          <w:sz w:val="30"/>
          <w:szCs w:val="30"/>
          <w14:textFill>
            <w14:solidFill>
              <w14:schemeClr w14:val="tx1"/>
            </w14:solidFill>
          </w14:textFill>
        </w:rPr>
        <w:t>（六）应用分析能力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职业适应性测试或职业技能综合考查时间约15分钟，考查内容及分值(总分100分)占比如下：</w:t>
      </w:r>
      <w:r>
        <w:rPr>
          <w:rFonts w:ascii="仿宋" w:hAnsi="仿宋" w:eastAsia="仿宋" w:cs="仿宋"/>
          <w:kern w:val="2"/>
          <w:sz w:val="30"/>
          <w:szCs w:val="30"/>
        </w:rPr>
        <w:t xml:space="preserve"> </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（一）专业潜质和综合知识水平(30分)：考察考生的今后职业发展规划能力和对所报考专业(行业)的最新动态了解情况等。</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（二）语言表达能力和逻辑思维能力(30分)：考察考生的语言组织表达准确性、清晰性和逻辑性。</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（三）心理素质和应变能力(30分)：考察考生的情绪控制力以及沟通能力。</w:t>
      </w:r>
    </w:p>
    <w:p>
      <w:pPr>
        <w:pStyle w:val="5"/>
        <w:widowControl/>
        <w:ind w:firstLine="600" w:firstLineChars="200"/>
        <w:rPr>
          <w:rFonts w:ascii="仿宋" w:hAnsi="仿宋" w:eastAsia="仿宋" w:cs="仿宋"/>
          <w:kern w:val="2"/>
          <w:sz w:val="30"/>
          <w:szCs w:val="30"/>
        </w:rPr>
      </w:pPr>
      <w:r>
        <w:rPr>
          <w:rFonts w:hint="eastAsia" w:ascii="仿宋" w:hAnsi="仿宋" w:eastAsia="仿宋" w:cs="仿宋"/>
          <w:kern w:val="2"/>
          <w:sz w:val="30"/>
          <w:szCs w:val="30"/>
        </w:rPr>
        <w:t>（四）仪态仪表(10分)：考察考生的仪表仪容、言谈举止、性格特征等。</w:t>
      </w:r>
    </w:p>
    <w:p>
      <w:pPr>
        <w:pStyle w:val="5"/>
        <w:widowControl/>
        <w:ind w:firstLine="600" w:firstLineChars="200"/>
        <w:rPr>
          <w:rFonts w:ascii="黑体" w:hAnsi="黑体" w:eastAsia="黑体" w:cs="黑体"/>
          <w:kern w:val="2"/>
          <w:sz w:val="30"/>
          <w:szCs w:val="30"/>
        </w:rPr>
      </w:pPr>
      <w:r>
        <w:rPr>
          <w:rFonts w:hint="eastAsia" w:ascii="黑体" w:hAnsi="黑体" w:eastAsia="黑体" w:cs="黑体"/>
          <w:kern w:val="2"/>
          <w:sz w:val="30"/>
          <w:szCs w:val="30"/>
        </w:rPr>
        <w:t>五、评分标准</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5732"/>
        <w:gridCol w:w="977"/>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tcPr>
          <w:p>
            <w:pPr>
              <w:pStyle w:val="5"/>
              <w:widowControl/>
              <w:jc w:val="center"/>
              <w:rPr>
                <w:rFonts w:ascii="仿宋" w:hAnsi="仿宋" w:eastAsia="仿宋" w:cs="仿宋"/>
                <w:b/>
                <w:kern w:val="2"/>
                <w:sz w:val="28"/>
                <w:szCs w:val="28"/>
              </w:rPr>
            </w:pPr>
            <w:r>
              <w:rPr>
                <w:rFonts w:hint="eastAsia" w:ascii="仿宋" w:hAnsi="仿宋" w:eastAsia="仿宋" w:cs="仿宋"/>
                <w:b/>
                <w:kern w:val="2"/>
                <w:sz w:val="28"/>
                <w:szCs w:val="28"/>
              </w:rPr>
              <w:t>项目</w:t>
            </w:r>
          </w:p>
        </w:tc>
        <w:tc>
          <w:tcPr>
            <w:tcW w:w="3363" w:type="pct"/>
          </w:tcPr>
          <w:p>
            <w:pPr>
              <w:pStyle w:val="5"/>
              <w:widowControl/>
              <w:jc w:val="center"/>
              <w:rPr>
                <w:rFonts w:ascii="仿宋" w:hAnsi="仿宋" w:eastAsia="仿宋" w:cs="仿宋"/>
                <w:b/>
                <w:kern w:val="2"/>
                <w:sz w:val="28"/>
                <w:szCs w:val="28"/>
              </w:rPr>
            </w:pPr>
            <w:r>
              <w:rPr>
                <w:rFonts w:ascii="仿宋" w:hAnsi="仿宋" w:eastAsia="仿宋" w:cs="仿宋"/>
                <w:b/>
                <w:kern w:val="2"/>
                <w:sz w:val="28"/>
                <w:szCs w:val="28"/>
              </w:rPr>
              <w:t>测试内容</w:t>
            </w:r>
          </w:p>
        </w:tc>
        <w:tc>
          <w:tcPr>
            <w:tcW w:w="573" w:type="pct"/>
          </w:tcPr>
          <w:p>
            <w:pPr>
              <w:pStyle w:val="5"/>
              <w:widowControl/>
              <w:jc w:val="center"/>
              <w:rPr>
                <w:rFonts w:ascii="仿宋" w:hAnsi="仿宋" w:eastAsia="仿宋" w:cs="仿宋"/>
                <w:b/>
                <w:kern w:val="2"/>
                <w:sz w:val="28"/>
                <w:szCs w:val="28"/>
              </w:rPr>
            </w:pPr>
            <w:r>
              <w:rPr>
                <w:rFonts w:ascii="仿宋" w:hAnsi="仿宋" w:eastAsia="仿宋" w:cs="仿宋"/>
                <w:b/>
                <w:kern w:val="2"/>
                <w:sz w:val="28"/>
                <w:szCs w:val="28"/>
              </w:rPr>
              <w:t>分值</w:t>
            </w:r>
          </w:p>
        </w:tc>
        <w:tc>
          <w:tcPr>
            <w:tcW w:w="490" w:type="pct"/>
          </w:tcPr>
          <w:p>
            <w:pPr>
              <w:pStyle w:val="5"/>
              <w:widowControl/>
              <w:jc w:val="center"/>
              <w:rPr>
                <w:rFonts w:ascii="仿宋" w:hAnsi="仿宋" w:eastAsia="仿宋" w:cs="仿宋"/>
                <w:b/>
                <w:kern w:val="2"/>
                <w:sz w:val="28"/>
                <w:szCs w:val="28"/>
              </w:rPr>
            </w:pPr>
            <w:r>
              <w:rPr>
                <w:rFonts w:ascii="仿宋" w:hAnsi="仿宋" w:eastAsia="仿宋" w:cs="仿宋"/>
                <w:b/>
                <w:kern w:val="2"/>
                <w:sz w:val="28"/>
                <w:szCs w:val="28"/>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vAlign w:val="center"/>
          </w:tcPr>
          <w:p>
            <w:pPr>
              <w:pStyle w:val="5"/>
              <w:rPr>
                <w:rFonts w:ascii="仿宋" w:hAnsi="仿宋" w:eastAsia="仿宋" w:cs="仿宋"/>
              </w:rPr>
            </w:pPr>
            <w:r>
              <w:rPr>
                <w:rFonts w:hint="eastAsia" w:ascii="仿宋" w:hAnsi="仿宋" w:eastAsia="仿宋" w:cs="仿宋"/>
              </w:rPr>
              <w:t>（一）</w:t>
            </w:r>
          </w:p>
          <w:p>
            <w:pPr>
              <w:pStyle w:val="5"/>
              <w:widowControl/>
              <w:rPr>
                <w:rFonts w:ascii="仿宋" w:hAnsi="仿宋" w:eastAsia="仿宋" w:cs="仿宋"/>
                <w:kern w:val="2"/>
              </w:rPr>
            </w:pPr>
            <w:r>
              <w:rPr>
                <w:rFonts w:hint="eastAsia" w:ascii="仿宋" w:hAnsi="仿宋" w:eastAsia="仿宋" w:cs="仿宋"/>
                <w:kern w:val="2"/>
              </w:rPr>
              <w:t>(30分)</w:t>
            </w: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具备所报专业基础知识，了解所报专业基本面、专业的就业方向和部分就业岗位</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vAlign w:val="center"/>
          </w:tcPr>
          <w:p>
            <w:pPr>
              <w:pStyle w:val="5"/>
              <w:widowControl/>
              <w:rPr>
                <w:rFonts w:ascii="仿宋" w:hAnsi="仿宋" w:eastAsia="仿宋" w:cs="仿宋"/>
                <w:kern w:val="2"/>
              </w:rPr>
            </w:pP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了解水利相关学科的常用术语和表达形式,以及新成果和新术语</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vAlign w:val="center"/>
          </w:tcPr>
          <w:p>
            <w:pPr>
              <w:pStyle w:val="5"/>
              <w:widowControl/>
              <w:rPr>
                <w:rFonts w:ascii="仿宋" w:hAnsi="仿宋" w:eastAsia="仿宋" w:cs="仿宋"/>
                <w:kern w:val="2"/>
              </w:rPr>
            </w:pP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理解水利相关学科的基本概念、一般原理和普遍规律。</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vAlign w:val="center"/>
          </w:tcPr>
          <w:p>
            <w:pPr>
              <w:pStyle w:val="5"/>
              <w:rPr>
                <w:rFonts w:ascii="仿宋" w:hAnsi="仿宋" w:eastAsia="仿宋" w:cs="仿宋"/>
              </w:rPr>
            </w:pPr>
            <w:r>
              <w:rPr>
                <w:rFonts w:hint="eastAsia" w:ascii="仿宋" w:hAnsi="仿宋" w:eastAsia="仿宋" w:cs="仿宋"/>
              </w:rPr>
              <w:t>（二）</w:t>
            </w:r>
          </w:p>
          <w:p>
            <w:pPr>
              <w:pStyle w:val="5"/>
              <w:widowControl/>
              <w:rPr>
                <w:rFonts w:ascii="仿宋" w:hAnsi="仿宋" w:eastAsia="仿宋" w:cs="仿宋"/>
                <w:kern w:val="2"/>
              </w:rPr>
            </w:pPr>
            <w:r>
              <w:rPr>
                <w:rFonts w:hint="eastAsia" w:ascii="仿宋" w:hAnsi="仿宋" w:eastAsia="仿宋" w:cs="仿宋"/>
                <w:kern w:val="2"/>
              </w:rPr>
              <w:t>(30分)</w:t>
            </w: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口齿清楚，语速适中，表达准确，简洁、流畅，能较准确地表达自己的观点，并能对提问做出恰当的回应</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vAlign w:val="center"/>
          </w:tcPr>
          <w:p>
            <w:pPr>
              <w:pStyle w:val="5"/>
              <w:widowControl/>
              <w:rPr>
                <w:rFonts w:ascii="仿宋" w:hAnsi="仿宋" w:eastAsia="仿宋" w:cs="仿宋"/>
                <w:kern w:val="2"/>
              </w:rPr>
            </w:pPr>
          </w:p>
        </w:tc>
        <w:tc>
          <w:tcPr>
            <w:tcW w:w="3363" w:type="pct"/>
            <w:vAlign w:val="center"/>
          </w:tcPr>
          <w:p>
            <w:pPr>
              <w:pStyle w:val="5"/>
              <w:jc w:val="both"/>
              <w:rPr>
                <w:rFonts w:ascii="仿宋" w:hAnsi="仿宋" w:eastAsia="仿宋" w:cs="仿宋"/>
              </w:rPr>
            </w:pPr>
            <w:r>
              <w:rPr>
                <w:rFonts w:hint="eastAsia" w:ascii="仿宋" w:hAnsi="仿宋" w:eastAsia="仿宋" w:cs="仿宋"/>
              </w:rPr>
              <w:t>善于倾听、交流，较准确地表达自己的观点</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vAlign w:val="center"/>
          </w:tcPr>
          <w:p>
            <w:pPr>
              <w:pStyle w:val="5"/>
              <w:widowControl/>
              <w:rPr>
                <w:rFonts w:ascii="仿宋" w:hAnsi="仿宋" w:eastAsia="仿宋" w:cs="仿宋"/>
                <w:kern w:val="2"/>
              </w:rPr>
            </w:pP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能正确理解和分析问题，抓住要点，思维灵活，条理清晰，逻辑性强</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vAlign w:val="center"/>
          </w:tcPr>
          <w:p>
            <w:pPr>
              <w:pStyle w:val="5"/>
              <w:rPr>
                <w:rFonts w:ascii="仿宋" w:hAnsi="仿宋" w:eastAsia="仿宋" w:cs="仿宋"/>
              </w:rPr>
            </w:pPr>
            <w:r>
              <w:rPr>
                <w:rFonts w:hint="eastAsia" w:ascii="仿宋" w:hAnsi="仿宋" w:eastAsia="仿宋" w:cs="仿宋"/>
              </w:rPr>
              <w:t>（三）</w:t>
            </w:r>
          </w:p>
          <w:p>
            <w:pPr>
              <w:pStyle w:val="5"/>
              <w:rPr>
                <w:rFonts w:ascii="仿宋" w:hAnsi="仿宋" w:eastAsia="仿宋" w:cs="仿宋"/>
                <w:kern w:val="2"/>
              </w:rPr>
            </w:pPr>
            <w:r>
              <w:rPr>
                <w:rFonts w:hint="eastAsia" w:ascii="仿宋" w:hAnsi="仿宋" w:eastAsia="仿宋" w:cs="仿宋"/>
                <w:kern w:val="2"/>
              </w:rPr>
              <w:t>(30分)</w:t>
            </w:r>
          </w:p>
        </w:tc>
        <w:tc>
          <w:tcPr>
            <w:tcW w:w="3363" w:type="pct"/>
            <w:vAlign w:val="center"/>
          </w:tcPr>
          <w:p>
            <w:pPr>
              <w:pStyle w:val="5"/>
              <w:jc w:val="both"/>
              <w:rPr>
                <w:rFonts w:ascii="仿宋" w:hAnsi="仿宋" w:eastAsia="仿宋" w:cs="仿宋"/>
              </w:rPr>
            </w:pPr>
            <w:r>
              <w:rPr>
                <w:rFonts w:hint="eastAsia" w:ascii="仿宋" w:hAnsi="仿宋" w:eastAsia="仿宋" w:cs="仿宋"/>
              </w:rPr>
              <w:t>活泼开朗，积极上进，有自信心，能够冷静地处理问题，有一定的情绪调节和自控能力</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vAlign w:val="center"/>
          </w:tcPr>
          <w:p>
            <w:pPr>
              <w:pStyle w:val="5"/>
              <w:widowControl/>
              <w:rPr>
                <w:rFonts w:ascii="仿宋" w:hAnsi="仿宋" w:eastAsia="仿宋" w:cs="仿宋"/>
                <w:kern w:val="2"/>
              </w:rPr>
            </w:pP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重视且乐于沟通，语言表达抓住要点，表达意图，陈述意见，不太需要重复说明，比较准确的表达意见</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vAlign w:val="center"/>
          </w:tcPr>
          <w:p>
            <w:pPr>
              <w:pStyle w:val="5"/>
              <w:widowControl/>
              <w:rPr>
                <w:rFonts w:ascii="仿宋" w:hAnsi="仿宋" w:eastAsia="仿宋" w:cs="仿宋"/>
                <w:kern w:val="2"/>
              </w:rPr>
            </w:pP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能够较冷静地处理问题，具有应变能力</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restart"/>
            <w:vAlign w:val="center"/>
          </w:tcPr>
          <w:p>
            <w:pPr>
              <w:pStyle w:val="5"/>
              <w:rPr>
                <w:rFonts w:ascii="仿宋" w:hAnsi="仿宋" w:eastAsia="仿宋" w:cs="仿宋"/>
              </w:rPr>
            </w:pPr>
            <w:r>
              <w:rPr>
                <w:rFonts w:hint="eastAsia" w:ascii="仿宋" w:hAnsi="仿宋" w:eastAsia="仿宋" w:cs="仿宋"/>
              </w:rPr>
              <w:t>（四）</w:t>
            </w:r>
          </w:p>
          <w:p>
            <w:pPr>
              <w:pStyle w:val="5"/>
              <w:widowControl/>
              <w:rPr>
                <w:rFonts w:ascii="仿宋" w:hAnsi="仿宋" w:eastAsia="仿宋" w:cs="仿宋"/>
                <w:kern w:val="2"/>
              </w:rPr>
            </w:pPr>
            <w:r>
              <w:rPr>
                <w:rFonts w:hint="eastAsia" w:ascii="仿宋" w:hAnsi="仿宋" w:eastAsia="仿宋" w:cs="仿宋"/>
                <w:kern w:val="2"/>
              </w:rPr>
              <w:t>(10分)</w:t>
            </w:r>
          </w:p>
        </w:tc>
        <w:tc>
          <w:tcPr>
            <w:tcW w:w="3363" w:type="pct"/>
            <w:vAlign w:val="center"/>
          </w:tcPr>
          <w:p>
            <w:pPr>
              <w:pStyle w:val="5"/>
              <w:widowControl/>
              <w:jc w:val="both"/>
              <w:rPr>
                <w:rFonts w:ascii="仿宋" w:hAnsi="仿宋" w:eastAsia="仿宋" w:cs="仿宋"/>
                <w:kern w:val="2"/>
              </w:rPr>
            </w:pPr>
            <w:r>
              <w:rPr>
                <w:rFonts w:hint="eastAsia" w:ascii="仿宋" w:hAnsi="仿宋" w:eastAsia="仿宋" w:cs="仿宋"/>
                <w:kern w:val="2"/>
              </w:rPr>
              <w:t>衣着整洁，仪表得体，精神饱满，姿态自然得当</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5分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pct"/>
            <w:vMerge w:val="continue"/>
          </w:tcPr>
          <w:p>
            <w:pPr>
              <w:pStyle w:val="5"/>
              <w:widowControl/>
              <w:rPr>
                <w:rFonts w:ascii="仿宋" w:hAnsi="仿宋" w:eastAsia="仿宋" w:cs="仿宋"/>
                <w:kern w:val="2"/>
              </w:rPr>
            </w:pPr>
          </w:p>
        </w:tc>
        <w:tc>
          <w:tcPr>
            <w:tcW w:w="3363" w:type="pct"/>
            <w:vAlign w:val="center"/>
          </w:tcPr>
          <w:p>
            <w:pPr>
              <w:pStyle w:val="5"/>
              <w:jc w:val="both"/>
              <w:rPr>
                <w:rFonts w:ascii="仿宋" w:hAnsi="仿宋" w:eastAsia="仿宋" w:cs="仿宋"/>
                <w:kern w:val="2"/>
              </w:rPr>
            </w:pPr>
            <w:r>
              <w:rPr>
                <w:rFonts w:hint="eastAsia" w:ascii="仿宋" w:hAnsi="仿宋" w:eastAsia="仿宋" w:cs="仿宋"/>
              </w:rPr>
              <w:t>举止大方，姿态自然，肢体表达得当</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5分</w:t>
            </w:r>
          </w:p>
        </w:tc>
        <w:tc>
          <w:tcPr>
            <w:tcW w:w="490" w:type="pct"/>
          </w:tcPr>
          <w:p>
            <w:pPr>
              <w:pStyle w:val="5"/>
              <w:widowControl/>
              <w:rPr>
                <w:rFonts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37" w:type="pct"/>
            <w:gridSpan w:val="2"/>
            <w:vAlign w:val="center"/>
          </w:tcPr>
          <w:p>
            <w:pPr>
              <w:pStyle w:val="5"/>
              <w:jc w:val="center"/>
              <w:rPr>
                <w:rFonts w:ascii="仿宋" w:hAnsi="仿宋" w:eastAsia="仿宋" w:cs="仿宋"/>
              </w:rPr>
            </w:pPr>
            <w:r>
              <w:rPr>
                <w:rFonts w:hint="eastAsia" w:ascii="仿宋" w:hAnsi="仿宋" w:eastAsia="仿宋" w:cs="仿宋"/>
              </w:rPr>
              <w:t>合计</w:t>
            </w:r>
          </w:p>
        </w:tc>
        <w:tc>
          <w:tcPr>
            <w:tcW w:w="573" w:type="pct"/>
            <w:vAlign w:val="center"/>
          </w:tcPr>
          <w:p>
            <w:pPr>
              <w:pStyle w:val="5"/>
              <w:widowControl/>
              <w:jc w:val="center"/>
              <w:rPr>
                <w:rFonts w:ascii="仿宋" w:hAnsi="仿宋" w:eastAsia="仿宋" w:cs="仿宋"/>
                <w:kern w:val="2"/>
              </w:rPr>
            </w:pPr>
            <w:r>
              <w:rPr>
                <w:rFonts w:hint="eastAsia" w:ascii="仿宋" w:hAnsi="仿宋" w:eastAsia="仿宋" w:cs="仿宋"/>
                <w:kern w:val="2"/>
              </w:rPr>
              <w:t>100分</w:t>
            </w:r>
          </w:p>
        </w:tc>
        <w:tc>
          <w:tcPr>
            <w:tcW w:w="490" w:type="pct"/>
          </w:tcPr>
          <w:p>
            <w:pPr>
              <w:pStyle w:val="5"/>
              <w:widowControl/>
              <w:rPr>
                <w:rFonts w:ascii="仿宋" w:hAnsi="仿宋" w:eastAsia="仿宋" w:cs="仿宋"/>
                <w:kern w:val="2"/>
                <w:sz w:val="30"/>
                <w:szCs w:val="30"/>
              </w:rPr>
            </w:pPr>
          </w:p>
        </w:tc>
      </w:tr>
    </w:tbl>
    <w:p>
      <w:pPr>
        <w:pStyle w:val="5"/>
        <w:widowControl/>
        <w:ind w:firstLine="600" w:firstLineChars="200"/>
        <w:rPr>
          <w:rFonts w:ascii="仿宋" w:hAnsi="仿宋" w:eastAsia="仿宋" w:cs="仿宋"/>
          <w:kern w:val="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410F6"/>
    <w:rsid w:val="00015805"/>
    <w:rsid w:val="000A33C3"/>
    <w:rsid w:val="000D46F3"/>
    <w:rsid w:val="00235223"/>
    <w:rsid w:val="00255DCF"/>
    <w:rsid w:val="00365C52"/>
    <w:rsid w:val="00380468"/>
    <w:rsid w:val="0041381D"/>
    <w:rsid w:val="004F6303"/>
    <w:rsid w:val="005407B3"/>
    <w:rsid w:val="00587933"/>
    <w:rsid w:val="005F5D9B"/>
    <w:rsid w:val="006C1002"/>
    <w:rsid w:val="006C2834"/>
    <w:rsid w:val="006F657B"/>
    <w:rsid w:val="00772FA7"/>
    <w:rsid w:val="007D289E"/>
    <w:rsid w:val="008B5581"/>
    <w:rsid w:val="008B5893"/>
    <w:rsid w:val="008D0645"/>
    <w:rsid w:val="009B3ACE"/>
    <w:rsid w:val="009C7E99"/>
    <w:rsid w:val="00A25C88"/>
    <w:rsid w:val="00A26FC0"/>
    <w:rsid w:val="00A340F3"/>
    <w:rsid w:val="00A57619"/>
    <w:rsid w:val="00A609BC"/>
    <w:rsid w:val="00BA13F9"/>
    <w:rsid w:val="00C57426"/>
    <w:rsid w:val="00D01FE2"/>
    <w:rsid w:val="00D91471"/>
    <w:rsid w:val="00FE29C3"/>
    <w:rsid w:val="0215471E"/>
    <w:rsid w:val="153755E4"/>
    <w:rsid w:val="23907399"/>
    <w:rsid w:val="264E77B2"/>
    <w:rsid w:val="27C15667"/>
    <w:rsid w:val="298E368C"/>
    <w:rsid w:val="2F0779F7"/>
    <w:rsid w:val="3B042ECA"/>
    <w:rsid w:val="3D94296E"/>
    <w:rsid w:val="45577A0C"/>
    <w:rsid w:val="462744EF"/>
    <w:rsid w:val="49670139"/>
    <w:rsid w:val="4B2954E8"/>
    <w:rsid w:val="4FB211B4"/>
    <w:rsid w:val="546A69FF"/>
    <w:rsid w:val="5732181F"/>
    <w:rsid w:val="57A410F6"/>
    <w:rsid w:val="58D746F8"/>
    <w:rsid w:val="60043EC1"/>
    <w:rsid w:val="60C86FC5"/>
    <w:rsid w:val="665955C6"/>
    <w:rsid w:val="6759124E"/>
    <w:rsid w:val="7024485B"/>
    <w:rsid w:val="70713121"/>
    <w:rsid w:val="7DB4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jc w:val="left"/>
      <w:outlineLvl w:val="1"/>
    </w:pPr>
    <w:rPr>
      <w:rFonts w:ascii="Arial" w:hAnsi="Arial" w:eastAsia="宋体" w:cs="Times New Roman"/>
      <w:kern w:val="0"/>
      <w:sz w:val="36"/>
      <w:szCs w:val="3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table" w:styleId="7">
    <w:name w:val="Table Grid"/>
    <w:basedOn w:val="6"/>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4"/>
    <w:qFormat/>
    <w:uiPriority w:val="0"/>
    <w:rPr>
      <w:kern w:val="2"/>
      <w:sz w:val="18"/>
      <w:szCs w:val="18"/>
    </w:rPr>
  </w:style>
  <w:style w:type="character" w:customStyle="1" w:styleId="10">
    <w:name w:val="页脚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978</Words>
  <Characters>1008</Characters>
  <Lines>7</Lines>
  <Paragraphs>2</Paragraphs>
  <TotalTime>4</TotalTime>
  <ScaleCrop>false</ScaleCrop>
  <LinksUpToDate>false</LinksUpToDate>
  <CharactersWithSpaces>1009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2022-04-01T09:11:00Z</dcterms:created>
  <dc:creator>凉白开</dc:creator>
  <cp:lastModifiedBy>Administrator</cp:lastModifiedBy>
  <cp:lastPrinted>2022-03-15T06:47:00Z</cp:lastPrinted>
  <dcterms:modified xsi:type="dcterms:W3CDTF">2022-04-15T10:04:58Z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8760243B80294ADF8EDBDD24CE17FD7F</vt:lpwstr>
  </property>
</Properties>
</file>