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ascii="黑体" w:hAnsi="黑体" w:eastAsia="黑体"/>
          <w:sz w:val="36"/>
          <w:szCs w:val="36"/>
        </w:rPr>
      </w:pPr>
      <w:bookmarkStart w:id="1" w:name="_GoBack"/>
      <w:bookmarkEnd w:id="1"/>
      <w:r>
        <w:rPr>
          <w:rFonts w:hint="eastAsia" w:ascii="黑体" w:hAnsi="黑体" w:eastAsia="黑体"/>
          <w:sz w:val="36"/>
          <w:szCs w:val="36"/>
        </w:rPr>
        <w:t>河套学院康复治疗学专业职业适应性测试说明</w:t>
      </w:r>
    </w:p>
    <w:p>
      <w:pPr>
        <w:pStyle w:val="5"/>
        <w:widowControl/>
        <w:spacing w:line="460" w:lineRule="exact"/>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本说明适用于康复治疗学专业退役大学生士兵。</w:t>
      </w:r>
    </w:p>
    <w:p>
      <w:pPr>
        <w:pStyle w:val="5"/>
        <w:widowControl/>
        <w:spacing w:line="46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spacing w:line="46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结合退役大学生士兵考生应当具备的基本素养和所报考康复治疗</w:t>
      </w:r>
      <w:r>
        <w:rPr>
          <w:rFonts w:hint="eastAsia" w:ascii="仿宋" w:hAnsi="仿宋" w:eastAsia="仿宋" w:cs="仿宋"/>
          <w:kern w:val="2"/>
          <w:sz w:val="30"/>
          <w:szCs w:val="30"/>
          <w:lang w:eastAsia="zh-Hans"/>
        </w:rPr>
        <w:t>学</w:t>
      </w:r>
      <w:r>
        <w:rPr>
          <w:rFonts w:hint="eastAsia" w:ascii="仿宋" w:hAnsi="仿宋" w:eastAsia="仿宋" w:cs="仿宋"/>
          <w:kern w:val="2"/>
          <w:sz w:val="30"/>
          <w:szCs w:val="30"/>
        </w:rPr>
        <w:t>专业的学习要求，主要测试考生以下几个方面的素质与能力（</w:t>
      </w:r>
      <w:bookmarkStart w:id="0" w:name="_Hlk98236089"/>
      <w:r>
        <w:rPr>
          <w:rFonts w:hint="eastAsia" w:ascii="仿宋" w:hAnsi="仿宋" w:eastAsia="仿宋" w:cs="仿宋"/>
          <w:kern w:val="2"/>
          <w:sz w:val="30"/>
          <w:szCs w:val="30"/>
        </w:rPr>
        <w:t>包含但不限于以下内容</w:t>
      </w:r>
      <w:bookmarkEnd w:id="0"/>
      <w:r>
        <w:rPr>
          <w:rFonts w:hint="eastAsia" w:ascii="仿宋" w:hAnsi="仿宋" w:eastAsia="仿宋" w:cs="仿宋"/>
          <w:kern w:val="2"/>
          <w:sz w:val="30"/>
          <w:szCs w:val="30"/>
        </w:rPr>
        <w:t>）：</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重点考查考生对康复专业技能的掌握程度以及是否具备解决实际问题的能力。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spacing w:line="46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lang w:eastAsia="zh-Hans"/>
        </w:rPr>
        <w:t>面试</w:t>
      </w:r>
      <w:r>
        <w:rPr>
          <w:rFonts w:hint="eastAsia" w:ascii="仿宋" w:hAnsi="仿宋" w:eastAsia="仿宋" w:cs="仿宋"/>
          <w:kern w:val="2"/>
          <w:sz w:val="30"/>
          <w:szCs w:val="30"/>
        </w:rPr>
        <w:t>约</w:t>
      </w:r>
      <w:r>
        <w:rPr>
          <w:rFonts w:ascii="仿宋" w:hAnsi="仿宋" w:eastAsia="仿宋" w:cs="仿宋"/>
          <w:kern w:val="2"/>
          <w:sz w:val="30"/>
          <w:szCs w:val="30"/>
        </w:rPr>
        <w:t>15</w:t>
      </w:r>
      <w:r>
        <w:rPr>
          <w:rFonts w:hint="eastAsia" w:ascii="仿宋" w:hAnsi="仿宋" w:eastAsia="仿宋" w:cs="仿宋"/>
          <w:kern w:val="2"/>
          <w:sz w:val="30"/>
          <w:szCs w:val="30"/>
        </w:rPr>
        <w:t>分钟，考查内容及分值(总分100分)占比如下：（包含但不限于以下内容）</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（一）仪态仪表(</w:t>
      </w:r>
      <w:r>
        <w:rPr>
          <w:rFonts w:ascii="仿宋" w:hAnsi="仿宋" w:eastAsia="仿宋" w:cs="仿宋"/>
          <w:kern w:val="2"/>
          <w:sz w:val="30"/>
          <w:szCs w:val="30"/>
        </w:rPr>
        <w:t>10</w:t>
      </w:r>
      <w:r>
        <w:rPr>
          <w:rFonts w:hint="eastAsia" w:ascii="仿宋" w:hAnsi="仿宋" w:eastAsia="仿宋" w:cs="仿宋"/>
          <w:kern w:val="2"/>
          <w:sz w:val="30"/>
          <w:szCs w:val="30"/>
        </w:rPr>
        <w:t>分)：考察考生的仪表仪容、言谈举止、性格特征等。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w:t>
      </w:r>
      <w:r>
        <w:rPr>
          <w:rFonts w:ascii="仿宋" w:hAnsi="仿宋" w:eastAsia="仿宋" w:cs="仿宋"/>
          <w:kern w:val="2"/>
          <w:sz w:val="30"/>
          <w:szCs w:val="30"/>
        </w:rPr>
        <w:t>10</w:t>
      </w:r>
      <w:r>
        <w:rPr>
          <w:rFonts w:hint="eastAsia" w:ascii="仿宋" w:hAnsi="仿宋" w:eastAsia="仿宋" w:cs="仿宋"/>
          <w:kern w:val="2"/>
          <w:sz w:val="30"/>
          <w:szCs w:val="30"/>
        </w:rPr>
        <w:t>分)：考察考生的语言组织表达准确性、清晰性和逻辑性。</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w:t>
      </w:r>
      <w:r>
        <w:rPr>
          <w:rFonts w:ascii="仿宋" w:hAnsi="仿宋" w:eastAsia="仿宋" w:cs="仿宋"/>
          <w:kern w:val="2"/>
          <w:sz w:val="30"/>
          <w:szCs w:val="30"/>
        </w:rPr>
        <w:t>40</w:t>
      </w:r>
      <w:r>
        <w:rPr>
          <w:rFonts w:hint="eastAsia" w:ascii="仿宋" w:hAnsi="仿宋" w:eastAsia="仿宋" w:cs="仿宋"/>
          <w:kern w:val="2"/>
          <w:sz w:val="30"/>
          <w:szCs w:val="30"/>
        </w:rPr>
        <w:t>分)：考察考生的情绪控制力以及沟通能力。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（四）专业潜质和综合知识水平(</w:t>
      </w:r>
      <w:r>
        <w:rPr>
          <w:rFonts w:ascii="仿宋" w:hAnsi="仿宋" w:eastAsia="仿宋" w:cs="仿宋"/>
          <w:kern w:val="2"/>
          <w:sz w:val="30"/>
          <w:szCs w:val="30"/>
        </w:rPr>
        <w:t>40</w:t>
      </w:r>
      <w:r>
        <w:rPr>
          <w:rFonts w:hint="eastAsia" w:ascii="仿宋" w:hAnsi="仿宋" w:eastAsia="仿宋" w:cs="仿宋"/>
          <w:kern w:val="2"/>
          <w:sz w:val="30"/>
          <w:szCs w:val="30"/>
        </w:rPr>
        <w:t>分)：考察考生今后职业发展规划能力和对康复治疗专业</w:t>
      </w:r>
      <w:r>
        <w:rPr>
          <w:rFonts w:ascii="仿宋" w:hAnsi="仿宋" w:eastAsia="仿宋" w:cs="仿宋"/>
          <w:kern w:val="2"/>
          <w:sz w:val="30"/>
          <w:szCs w:val="30"/>
        </w:rPr>
        <w:t>（</w:t>
      </w:r>
      <w:r>
        <w:rPr>
          <w:rFonts w:hint="eastAsia" w:ascii="仿宋" w:hAnsi="仿宋" w:eastAsia="仿宋" w:cs="仿宋"/>
          <w:kern w:val="2"/>
          <w:sz w:val="30"/>
          <w:szCs w:val="30"/>
          <w:lang w:eastAsia="zh-Hans"/>
        </w:rPr>
        <w:t>或</w:t>
      </w:r>
      <w:r>
        <w:rPr>
          <w:rFonts w:hint="eastAsia" w:ascii="仿宋" w:hAnsi="仿宋" w:eastAsia="仿宋" w:cs="仿宋"/>
          <w:kern w:val="2"/>
          <w:sz w:val="30"/>
          <w:szCs w:val="30"/>
        </w:rPr>
        <w:t>行业</w:t>
      </w:r>
      <w:r>
        <w:rPr>
          <w:rFonts w:ascii="仿宋" w:hAnsi="仿宋" w:eastAsia="仿宋" w:cs="仿宋"/>
          <w:kern w:val="2"/>
          <w:sz w:val="30"/>
          <w:szCs w:val="30"/>
        </w:rPr>
        <w:t>）</w:t>
      </w:r>
      <w:r>
        <w:rPr>
          <w:rFonts w:hint="eastAsia" w:ascii="仿宋" w:hAnsi="仿宋" w:eastAsia="仿宋" w:cs="仿宋"/>
          <w:kern w:val="2"/>
          <w:sz w:val="30"/>
          <w:szCs w:val="30"/>
        </w:rPr>
        <w:t>的最新动态了解情况等。</w:t>
      </w:r>
    </w:p>
    <w:tbl>
      <w:tblPr>
        <w:tblStyle w:val="6"/>
        <w:tblpPr w:leftFromText="180" w:rightFromText="180" w:vertAnchor="text" w:horzAnchor="page" w:tblpX="1249" w:tblpY="17"/>
        <w:tblOverlap w:val="never"/>
        <w:tblW w:w="9209"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4"/>
        <w:gridCol w:w="973"/>
        <w:gridCol w:w="607"/>
        <w:gridCol w:w="67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序号</w:t>
            </w:r>
          </w:p>
        </w:tc>
        <w:tc>
          <w:tcPr>
            <w:tcW w:w="973"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面试模块</w:t>
            </w: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分值</w:t>
            </w:r>
          </w:p>
        </w:tc>
        <w:tc>
          <w:tcPr>
            <w:tcW w:w="6785" w:type="dxa"/>
            <w:shd w:val="clear" w:color="auto" w:fill="FFFFFF"/>
            <w:vAlign w:val="center"/>
          </w:tcPr>
          <w:p>
            <w:pPr>
              <w:widowControl/>
              <w:spacing w:before="75" w:after="75" w:line="460" w:lineRule="exact"/>
              <w:ind w:left="150" w:right="150"/>
              <w:jc w:val="left"/>
              <w:rPr>
                <w:rFonts w:ascii="宋体" w:hAnsi="宋体" w:eastAsia="宋体" w:cs="宋体"/>
                <w:color w:val="000000"/>
                <w:sz w:val="24"/>
              </w:rPr>
            </w:pPr>
            <w:r>
              <w:rPr>
                <w:rFonts w:hint="eastAsia" w:ascii="宋体" w:hAnsi="宋体" w:eastAsia="宋体" w:cs="宋体"/>
                <w:color w:val="000000"/>
                <w:kern w:val="0"/>
                <w:sz w:val="24"/>
                <w:lang w:bidi="ar"/>
              </w:rPr>
              <w:t>评分标准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4" w:hRule="atLeast"/>
          <w:tblCellSpacing w:w="0" w:type="dxa"/>
        </w:trPr>
        <w:tc>
          <w:tcPr>
            <w:tcW w:w="844" w:type="dxa"/>
            <w:vMerge w:val="restart"/>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sz w:val="24"/>
              </w:rPr>
              <w:t>（</w:t>
            </w:r>
            <w:r>
              <w:rPr>
                <w:rFonts w:hint="eastAsia" w:ascii="宋体" w:hAnsi="宋体" w:eastAsia="宋体" w:cs="宋体"/>
                <w:sz w:val="24"/>
                <w:lang w:eastAsia="zh-Hans"/>
              </w:rPr>
              <w:t>一</w:t>
            </w:r>
            <w:r>
              <w:rPr>
                <w:rFonts w:hint="eastAsia" w:ascii="宋体" w:hAnsi="宋体" w:eastAsia="宋体" w:cs="宋体"/>
                <w:sz w:val="24"/>
              </w:rPr>
              <w:t>）</w:t>
            </w:r>
          </w:p>
          <w:p>
            <w:pPr>
              <w:widowControl/>
              <w:spacing w:line="460" w:lineRule="exact"/>
              <w:jc w:val="center"/>
              <w:rPr>
                <w:rFonts w:ascii="宋体" w:hAnsi="宋体" w:eastAsia="宋体" w:cs="宋体"/>
                <w:color w:val="000000"/>
                <w:kern w:val="0"/>
                <w:sz w:val="24"/>
                <w:lang w:bidi="ar"/>
              </w:rPr>
            </w:pPr>
          </w:p>
        </w:tc>
        <w:tc>
          <w:tcPr>
            <w:tcW w:w="973" w:type="dxa"/>
            <w:vMerge w:val="restart"/>
            <w:shd w:val="clear" w:color="auto" w:fill="FFFFFF"/>
            <w:textDirection w:val="tbLrV"/>
          </w:tcPr>
          <w:p>
            <w:pPr>
              <w:widowControl/>
              <w:bidi/>
              <w:snapToGrid w:val="0"/>
              <w:spacing w:line="460" w:lineRule="exact"/>
              <w:jc w:val="center"/>
              <w:rPr>
                <w:rFonts w:ascii="宋体" w:hAnsi="宋体" w:eastAsia="宋体" w:cs="宋体"/>
                <w:color w:val="000000"/>
                <w:sz w:val="24"/>
              </w:rPr>
            </w:pPr>
            <w:r>
              <w:rPr>
                <w:rFonts w:hint="eastAsia" w:ascii="宋体" w:hAnsi="宋体" w:eastAsia="宋体" w:cs="宋体"/>
                <w:sz w:val="24"/>
              </w:rPr>
              <w:t>仪态仪表</w:t>
            </w:r>
          </w:p>
          <w:p>
            <w:pPr>
              <w:widowControl/>
              <w:tabs>
                <w:tab w:val="left" w:pos="630"/>
              </w:tabs>
              <w:spacing w:line="460" w:lineRule="exact"/>
              <w:jc w:val="center"/>
              <w:rPr>
                <w:rFonts w:ascii="宋体" w:hAnsi="宋体" w:eastAsia="宋体" w:cs="宋体"/>
                <w:color w:val="000000"/>
                <w:kern w:val="0"/>
                <w:sz w:val="24"/>
                <w:lang w:bidi="ar"/>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5</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衣着整洁，仪表得体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kern w:val="0"/>
                <w:sz w:val="24"/>
                <w:lang w:bidi="ar"/>
              </w:rPr>
            </w:pPr>
          </w:p>
        </w:tc>
        <w:tc>
          <w:tcPr>
            <w:tcW w:w="973" w:type="dxa"/>
            <w:vMerge w:val="continue"/>
            <w:shd w:val="clear" w:color="auto" w:fill="FFFFFF"/>
            <w:textDirection w:val="tbLrV"/>
            <w:vAlign w:val="center"/>
          </w:tcPr>
          <w:p>
            <w:pPr>
              <w:widowControl/>
              <w:tabs>
                <w:tab w:val="left" w:pos="630"/>
              </w:tabs>
              <w:spacing w:line="460" w:lineRule="exact"/>
              <w:jc w:val="center"/>
              <w:rPr>
                <w:rFonts w:ascii="宋体" w:hAnsi="宋体" w:eastAsia="宋体" w:cs="宋体"/>
                <w:color w:val="000000"/>
                <w:kern w:val="0"/>
                <w:sz w:val="24"/>
                <w:lang w:bidi="ar"/>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5</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行为举止稳重端庄大方，有亲和力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84" w:hRule="atLeast"/>
          <w:tblCellSpacing w:w="0" w:type="dxa"/>
        </w:trPr>
        <w:tc>
          <w:tcPr>
            <w:tcW w:w="844" w:type="dxa"/>
            <w:vMerge w:val="restart"/>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w:t>
            </w:r>
            <w:r>
              <w:rPr>
                <w:rFonts w:hint="eastAsia" w:ascii="宋体" w:hAnsi="宋体" w:eastAsia="宋体" w:cs="宋体"/>
                <w:color w:val="000000"/>
                <w:sz w:val="24"/>
                <w:lang w:eastAsia="zh-Hans"/>
              </w:rPr>
              <w:t>二</w:t>
            </w:r>
            <w:r>
              <w:rPr>
                <w:rFonts w:hint="eastAsia" w:ascii="宋体" w:hAnsi="宋体" w:eastAsia="宋体" w:cs="宋体"/>
                <w:color w:val="000000"/>
                <w:sz w:val="24"/>
              </w:rPr>
              <w:t>）</w:t>
            </w:r>
          </w:p>
        </w:tc>
        <w:tc>
          <w:tcPr>
            <w:tcW w:w="973" w:type="dxa"/>
            <w:vMerge w:val="restart"/>
            <w:shd w:val="clear" w:color="auto" w:fill="FFFFFF"/>
            <w:textDirection w:val="tbLrV"/>
            <w:vAlign w:val="center"/>
          </w:tcPr>
          <w:p>
            <w:pPr>
              <w:widowControl/>
              <w:snapToGrid w:val="0"/>
              <w:spacing w:line="460" w:lineRule="exact"/>
              <w:jc w:val="center"/>
              <w:rPr>
                <w:rFonts w:ascii="宋体" w:hAnsi="宋体" w:eastAsia="宋体" w:cs="宋体"/>
                <w:color w:val="000000"/>
                <w:sz w:val="24"/>
              </w:rPr>
            </w:pPr>
            <w:r>
              <w:rPr>
                <w:rFonts w:hint="eastAsia" w:ascii="宋体" w:hAnsi="宋体" w:eastAsia="宋体" w:cs="宋体"/>
                <w:sz w:val="24"/>
              </w:rPr>
              <w:t>语言表达能力和逻辑思维能力</w:t>
            </w: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5</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kern w:val="0"/>
                <w:sz w:val="24"/>
                <w:lang w:bidi="ar"/>
              </w:rPr>
            </w:pPr>
            <w:r>
              <w:rPr>
                <w:rFonts w:hint="eastAsia" w:ascii="宋体" w:hAnsi="宋体" w:eastAsia="宋体" w:cs="宋体"/>
                <w:color w:val="000000"/>
                <w:kern w:val="0"/>
                <w:sz w:val="24"/>
                <w:lang w:bidi="ar"/>
              </w:rPr>
              <w:t>口齿清楚，语速适宜，表达准确，简洁、流畅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40" w:hRule="atLeast"/>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973"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5</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表达自己的观点条理清晰，有逻辑性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restart"/>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sz w:val="24"/>
              </w:rPr>
              <w:t>（三）</w:t>
            </w:r>
          </w:p>
          <w:p>
            <w:pPr>
              <w:widowControl/>
              <w:spacing w:line="460" w:lineRule="exact"/>
              <w:jc w:val="center"/>
              <w:rPr>
                <w:rFonts w:ascii="宋体" w:hAnsi="宋体" w:eastAsia="宋体" w:cs="宋体"/>
                <w:color w:val="000000"/>
                <w:sz w:val="24"/>
              </w:rPr>
            </w:pPr>
          </w:p>
        </w:tc>
        <w:tc>
          <w:tcPr>
            <w:tcW w:w="973" w:type="dxa"/>
            <w:vMerge w:val="restart"/>
            <w:shd w:val="clear" w:color="auto" w:fill="FFFFFF"/>
            <w:textDirection w:val="tbLrV"/>
          </w:tcPr>
          <w:p>
            <w:pPr>
              <w:widowControl/>
              <w:snapToGrid w:val="0"/>
              <w:spacing w:line="460" w:lineRule="exact"/>
              <w:jc w:val="center"/>
              <w:rPr>
                <w:rFonts w:ascii="宋体" w:hAnsi="宋体" w:eastAsia="宋体" w:cs="宋体"/>
                <w:sz w:val="24"/>
              </w:rPr>
            </w:pPr>
            <w:r>
              <w:rPr>
                <w:rFonts w:hint="eastAsia" w:ascii="宋体" w:hAnsi="宋体" w:eastAsia="宋体" w:cs="宋体"/>
                <w:sz w:val="24"/>
              </w:rPr>
              <w:t>心理素质和</w:t>
            </w:r>
          </w:p>
          <w:p>
            <w:pPr>
              <w:widowControl/>
              <w:snapToGrid w:val="0"/>
              <w:spacing w:line="460" w:lineRule="exact"/>
              <w:jc w:val="center"/>
              <w:rPr>
                <w:rFonts w:ascii="宋体" w:hAnsi="宋体" w:eastAsia="宋体" w:cs="宋体"/>
                <w:color w:val="000000"/>
                <w:sz w:val="24"/>
              </w:rPr>
            </w:pPr>
            <w:r>
              <w:rPr>
                <w:rFonts w:hint="eastAsia" w:ascii="宋体" w:hAnsi="宋体" w:eastAsia="宋体" w:cs="宋体"/>
                <w:sz w:val="24"/>
              </w:rPr>
              <w:t>应变能力</w:t>
            </w:r>
          </w:p>
        </w:tc>
        <w:tc>
          <w:tcPr>
            <w:tcW w:w="607" w:type="dxa"/>
            <w:shd w:val="clear" w:color="auto" w:fill="FFFFFF"/>
            <w:vAlign w:val="center"/>
          </w:tcPr>
          <w:p>
            <w:pPr>
              <w:widowControl/>
              <w:spacing w:line="4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eastAsia="zh-Hans" w:bidi="ar"/>
              </w:rPr>
              <w:t>具</w:t>
            </w:r>
            <w:r>
              <w:rPr>
                <w:rFonts w:hint="eastAsia" w:ascii="宋体" w:hAnsi="宋体" w:eastAsia="宋体" w:cs="宋体"/>
                <w:color w:val="000000"/>
                <w:kern w:val="0"/>
                <w:sz w:val="24"/>
                <w:lang w:bidi="ar"/>
              </w:rPr>
              <w:t>有一定的情绪调节和自控能力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973"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能够较冷静地处理问题，具有应变能力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0" w:hRule="atLeast"/>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973"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在交流中态度积极，并能做出恰当的回应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973"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看待问题全面</w:t>
            </w:r>
            <w:r>
              <w:rPr>
                <w:rFonts w:ascii="宋体" w:hAnsi="宋体" w:eastAsia="宋体" w:cs="宋体"/>
                <w:color w:val="000000"/>
                <w:kern w:val="0"/>
                <w:sz w:val="24"/>
                <w:lang w:bidi="ar"/>
              </w:rPr>
              <w:t>，</w:t>
            </w:r>
            <w:r>
              <w:rPr>
                <w:rFonts w:hint="eastAsia" w:ascii="宋体" w:hAnsi="宋体" w:eastAsia="宋体" w:cs="宋体"/>
                <w:color w:val="000000"/>
                <w:kern w:val="0"/>
                <w:sz w:val="24"/>
                <w:lang w:eastAsia="zh-Hans" w:bidi="ar"/>
              </w:rPr>
              <w:t>能用评判性思维方式思考问题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5" w:hRule="atLeast"/>
          <w:tblCellSpacing w:w="0" w:type="dxa"/>
        </w:trPr>
        <w:tc>
          <w:tcPr>
            <w:tcW w:w="844" w:type="dxa"/>
            <w:vMerge w:val="restart"/>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sz w:val="24"/>
              </w:rPr>
              <w:t>（</w:t>
            </w:r>
            <w:r>
              <w:rPr>
                <w:rFonts w:hint="eastAsia" w:ascii="宋体" w:hAnsi="宋体" w:eastAsia="宋体" w:cs="宋体"/>
                <w:color w:val="000000"/>
                <w:sz w:val="24"/>
                <w:lang w:eastAsia="zh-Hans"/>
              </w:rPr>
              <w:t>四</w:t>
            </w:r>
            <w:r>
              <w:rPr>
                <w:rFonts w:hint="eastAsia" w:ascii="宋体" w:hAnsi="宋体" w:eastAsia="宋体" w:cs="宋体"/>
                <w:color w:val="000000"/>
                <w:sz w:val="24"/>
              </w:rPr>
              <w:t>）</w:t>
            </w:r>
          </w:p>
        </w:tc>
        <w:tc>
          <w:tcPr>
            <w:tcW w:w="973" w:type="dxa"/>
            <w:vMerge w:val="restart"/>
            <w:shd w:val="clear" w:color="auto" w:fill="FFFFFF"/>
            <w:textDirection w:val="tbLrV"/>
          </w:tcPr>
          <w:p>
            <w:pPr>
              <w:widowControl/>
              <w:tabs>
                <w:tab w:val="left" w:pos="630"/>
              </w:tabs>
              <w:snapToGrid w:val="0"/>
              <w:spacing w:line="460" w:lineRule="exact"/>
              <w:jc w:val="center"/>
              <w:rPr>
                <w:rFonts w:ascii="宋体" w:hAnsi="宋体" w:eastAsia="宋体" w:cs="宋体"/>
                <w:color w:val="000000"/>
                <w:kern w:val="0"/>
                <w:sz w:val="24"/>
                <w:lang w:eastAsia="zh-Hans" w:bidi="ar"/>
              </w:rPr>
            </w:pPr>
            <w:r>
              <w:rPr>
                <w:rFonts w:hint="eastAsia" w:ascii="宋体" w:hAnsi="宋体" w:eastAsia="宋体" w:cs="宋体"/>
                <w:color w:val="000000"/>
                <w:kern w:val="0"/>
                <w:sz w:val="24"/>
                <w:lang w:bidi="ar"/>
              </w:rPr>
              <w:t>专业潜质</w:t>
            </w:r>
            <w:r>
              <w:rPr>
                <w:rFonts w:hint="eastAsia" w:ascii="宋体" w:hAnsi="宋体" w:eastAsia="宋体" w:cs="宋体"/>
                <w:color w:val="000000"/>
                <w:kern w:val="0"/>
                <w:sz w:val="24"/>
                <w:lang w:eastAsia="zh-Hans" w:bidi="ar"/>
              </w:rPr>
              <w:t>和</w:t>
            </w:r>
          </w:p>
          <w:p>
            <w:pPr>
              <w:widowControl/>
              <w:tabs>
                <w:tab w:val="left" w:pos="630"/>
              </w:tabs>
              <w:snapToGrid w:val="0"/>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综合</w:t>
            </w:r>
            <w:r>
              <w:rPr>
                <w:rFonts w:hint="eastAsia" w:ascii="宋体" w:hAnsi="宋体" w:eastAsia="宋体" w:cs="宋体"/>
                <w:color w:val="000000"/>
                <w:kern w:val="0"/>
                <w:sz w:val="24"/>
                <w:lang w:eastAsia="zh-Hans" w:bidi="ar"/>
              </w:rPr>
              <w:t>知识水平</w:t>
            </w:r>
          </w:p>
          <w:p>
            <w:pPr>
              <w:widowControl/>
              <w:snapToGrid w:val="0"/>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对康复治疗</w:t>
            </w:r>
            <w:r>
              <w:rPr>
                <w:rFonts w:hint="eastAsia" w:ascii="宋体" w:hAnsi="宋体" w:eastAsia="宋体" w:cs="宋体"/>
                <w:color w:val="000000"/>
                <w:kern w:val="0"/>
                <w:sz w:val="24"/>
                <w:lang w:eastAsia="zh-Hans" w:bidi="ar"/>
              </w:rPr>
              <w:t>学</w:t>
            </w:r>
            <w:r>
              <w:rPr>
                <w:rFonts w:hint="eastAsia" w:ascii="宋体" w:hAnsi="宋体" w:eastAsia="宋体" w:cs="宋体"/>
                <w:color w:val="000000"/>
                <w:kern w:val="0"/>
                <w:sz w:val="24"/>
                <w:lang w:bidi="ar"/>
              </w:rPr>
              <w:t>专业的认同程度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4" w:hRule="atLeast"/>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sz w:val="24"/>
              </w:rPr>
            </w:pPr>
          </w:p>
        </w:tc>
        <w:tc>
          <w:tcPr>
            <w:tcW w:w="973" w:type="dxa"/>
            <w:vMerge w:val="continue"/>
            <w:shd w:val="clear" w:color="auto" w:fill="FFFFFF"/>
            <w:textDirection w:val="tbLrV"/>
            <w:vAlign w:val="center"/>
          </w:tcPr>
          <w:p>
            <w:pPr>
              <w:widowControl/>
              <w:spacing w:line="460" w:lineRule="exact"/>
              <w:jc w:val="center"/>
              <w:rPr>
                <w:rFonts w:ascii="宋体" w:hAnsi="宋体" w:eastAsia="宋体" w:cs="宋体"/>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sz w:val="24"/>
              </w:rPr>
            </w:pPr>
            <w:r>
              <w:rPr>
                <w:rFonts w:hint="eastAsia" w:ascii="宋体" w:hAnsi="宋体" w:eastAsia="宋体" w:cs="宋体"/>
                <w:color w:val="000000"/>
                <w:kern w:val="0"/>
                <w:sz w:val="24"/>
                <w:lang w:bidi="ar"/>
              </w:rPr>
              <w:t>对康复治疗学专业</w:t>
            </w:r>
            <w:r>
              <w:rPr>
                <w:rFonts w:hint="eastAsia" w:ascii="宋体" w:hAnsi="宋体" w:eastAsia="宋体" w:cs="宋体"/>
                <w:color w:val="000000"/>
                <w:kern w:val="0"/>
                <w:sz w:val="24"/>
                <w:lang w:eastAsia="zh-Hans" w:bidi="ar"/>
              </w:rPr>
              <w:t>非常</w:t>
            </w:r>
            <w:r>
              <w:rPr>
                <w:rFonts w:hint="eastAsia" w:ascii="宋体" w:hAnsi="宋体" w:eastAsia="宋体" w:cs="宋体"/>
                <w:color w:val="000000"/>
                <w:kern w:val="0"/>
                <w:sz w:val="24"/>
                <w:lang w:bidi="ar"/>
              </w:rPr>
              <w:t>了解</w:t>
            </w:r>
            <w:r>
              <w:rPr>
                <w:rFonts w:ascii="宋体" w:hAnsi="宋体" w:eastAsia="宋体" w:cs="宋体"/>
                <w:color w:val="000000"/>
                <w:kern w:val="0"/>
                <w:sz w:val="24"/>
                <w:lang w:bidi="ar"/>
              </w:rPr>
              <w:t>，</w:t>
            </w:r>
            <w:r>
              <w:rPr>
                <w:rFonts w:hint="eastAsia" w:ascii="宋体" w:hAnsi="宋体" w:eastAsia="宋体" w:cs="宋体"/>
                <w:color w:val="000000"/>
                <w:kern w:val="0"/>
                <w:sz w:val="24"/>
                <w:lang w:eastAsia="zh-Hans" w:bidi="ar"/>
              </w:rPr>
              <w:t>包括最新发展动态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4" w:hRule="atLeast"/>
          <w:tblCellSpacing w:w="0" w:type="dxa"/>
        </w:trPr>
        <w:tc>
          <w:tcPr>
            <w:tcW w:w="844" w:type="dxa"/>
            <w:vMerge w:val="continue"/>
            <w:shd w:val="clear" w:color="auto" w:fill="FFFFFF"/>
            <w:vAlign w:val="center"/>
          </w:tcPr>
          <w:p>
            <w:pPr>
              <w:widowControl/>
              <w:spacing w:line="460" w:lineRule="exact"/>
              <w:ind w:left="105" w:leftChars="50"/>
              <w:jc w:val="left"/>
              <w:rPr>
                <w:sz w:val="24"/>
              </w:rPr>
            </w:pPr>
          </w:p>
        </w:tc>
        <w:tc>
          <w:tcPr>
            <w:tcW w:w="973" w:type="dxa"/>
            <w:vMerge w:val="continue"/>
            <w:shd w:val="clear" w:color="auto" w:fill="FFFFFF"/>
            <w:textDirection w:val="tbLrV"/>
            <w:vAlign w:val="center"/>
          </w:tcPr>
          <w:p>
            <w:pPr>
              <w:widowControl/>
              <w:spacing w:line="460" w:lineRule="exact"/>
              <w:ind w:left="105" w:leftChars="50"/>
              <w:jc w:val="left"/>
              <w:rPr>
                <w:sz w:val="24"/>
              </w:rPr>
            </w:pPr>
          </w:p>
        </w:tc>
        <w:tc>
          <w:tcPr>
            <w:tcW w:w="607" w:type="dxa"/>
            <w:shd w:val="clear" w:color="auto" w:fill="FFFFFF"/>
            <w:vAlign w:val="center"/>
          </w:tcPr>
          <w:p>
            <w:pPr>
              <w:widowControl/>
              <w:spacing w:line="460" w:lineRule="exact"/>
              <w:ind w:left="105" w:leftChars="50"/>
              <w:jc w:val="left"/>
              <w:rPr>
                <w:rFonts w:ascii="宋体" w:hAnsi="宋体" w:eastAsia="宋体" w:cs="宋体"/>
                <w:color w:val="000000"/>
                <w:kern w:val="0"/>
                <w:sz w:val="24"/>
                <w:lang w:bidi="ar"/>
              </w:rPr>
            </w:pPr>
            <w:r>
              <w:rPr>
                <w:rFonts w:ascii="宋体" w:hAnsi="宋体" w:eastAsia="宋体" w:cs="宋体"/>
                <w:color w:val="000000"/>
                <w:kern w:val="0"/>
                <w:sz w:val="24"/>
                <w:lang w:bidi="ar"/>
              </w:rPr>
              <w:t>10</w:t>
            </w:r>
          </w:p>
        </w:tc>
        <w:tc>
          <w:tcPr>
            <w:tcW w:w="6785" w:type="dxa"/>
            <w:shd w:val="clear" w:color="auto" w:fill="FFFFFF"/>
            <w:vAlign w:val="center"/>
          </w:tcPr>
          <w:p>
            <w:pPr>
              <w:widowControl/>
              <w:spacing w:line="460" w:lineRule="exact"/>
              <w:ind w:left="105" w:leftChars="50"/>
              <w:jc w:val="left"/>
              <w:rPr>
                <w:rFonts w:ascii="宋体" w:hAnsi="宋体" w:eastAsia="宋体" w:cs="宋体"/>
                <w:color w:val="000000"/>
                <w:kern w:val="0"/>
                <w:sz w:val="24"/>
                <w:lang w:eastAsia="zh-Hans" w:bidi="ar"/>
              </w:rPr>
            </w:pPr>
            <w:r>
              <w:rPr>
                <w:rFonts w:hint="eastAsia" w:ascii="宋体" w:hAnsi="宋体" w:eastAsia="宋体" w:cs="宋体"/>
                <w:color w:val="000000"/>
                <w:kern w:val="0"/>
                <w:sz w:val="24"/>
                <w:lang w:eastAsia="zh-Hans" w:bidi="ar"/>
              </w:rPr>
              <w:t>对专业知识做出准确判断</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973" w:type="dxa"/>
            <w:vMerge w:val="continue"/>
            <w:shd w:val="clear" w:color="auto" w:fill="FFFFFF"/>
            <w:vAlign w:val="center"/>
          </w:tcPr>
          <w:p>
            <w:pPr>
              <w:widowControl/>
              <w:spacing w:line="460" w:lineRule="exact"/>
              <w:jc w:val="center"/>
              <w:rPr>
                <w:rFonts w:ascii="宋体" w:hAnsi="宋体" w:eastAsia="宋体" w:cs="宋体"/>
                <w:color w:val="000000"/>
                <w:sz w:val="24"/>
              </w:rPr>
            </w:pPr>
          </w:p>
        </w:tc>
        <w:tc>
          <w:tcPr>
            <w:tcW w:w="607" w:type="dxa"/>
            <w:shd w:val="clear" w:color="auto" w:fill="FFFFFF"/>
            <w:vAlign w:val="center"/>
          </w:tcPr>
          <w:p>
            <w:pPr>
              <w:widowControl/>
              <w:spacing w:line="46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10</w:t>
            </w:r>
          </w:p>
        </w:tc>
        <w:tc>
          <w:tcPr>
            <w:tcW w:w="6785" w:type="dxa"/>
            <w:shd w:val="clear" w:color="auto" w:fill="FFFFFF"/>
            <w:vAlign w:val="center"/>
          </w:tcPr>
          <w:p>
            <w:pPr>
              <w:widowControl/>
              <w:snapToGrid w:val="0"/>
              <w:spacing w:line="460" w:lineRule="exact"/>
              <w:ind w:left="105" w:leftChars="50"/>
              <w:jc w:val="left"/>
              <w:rPr>
                <w:rFonts w:ascii="宋体" w:hAnsi="宋体" w:eastAsia="宋体" w:cs="宋体"/>
                <w:color w:val="000000"/>
                <w:sz w:val="24"/>
              </w:rPr>
            </w:pPr>
            <w:r>
              <w:rPr>
                <w:rFonts w:hint="eastAsia" w:ascii="宋体" w:hAnsi="宋体" w:eastAsia="宋体" w:cs="宋体"/>
                <w:sz w:val="24"/>
                <w:lang w:eastAsia="zh-Hans"/>
              </w:rPr>
              <w:t>对</w:t>
            </w:r>
            <w:r>
              <w:rPr>
                <w:rFonts w:hint="eastAsia" w:ascii="宋体" w:hAnsi="宋体" w:eastAsia="宋体" w:cs="宋体"/>
                <w:sz w:val="24"/>
              </w:rPr>
              <w:t>今后职业发展</w:t>
            </w:r>
            <w:r>
              <w:rPr>
                <w:rFonts w:hint="eastAsia" w:ascii="宋体" w:hAnsi="宋体" w:eastAsia="宋体" w:cs="宋体"/>
                <w:sz w:val="24"/>
                <w:lang w:eastAsia="zh-Hans"/>
              </w:rPr>
              <w:t>的</w:t>
            </w:r>
            <w:r>
              <w:rPr>
                <w:rFonts w:hint="eastAsia" w:ascii="宋体" w:hAnsi="宋体" w:eastAsia="宋体" w:cs="宋体"/>
                <w:sz w:val="24"/>
              </w:rPr>
              <w:t>规划能力，</w:t>
            </w:r>
            <w:r>
              <w:rPr>
                <w:rFonts w:hint="eastAsia" w:ascii="宋体" w:hAnsi="宋体" w:eastAsia="宋体" w:cs="宋体"/>
                <w:color w:val="000000"/>
                <w:kern w:val="0"/>
                <w:sz w:val="24"/>
                <w:lang w:bidi="ar"/>
              </w:rPr>
              <w:t>有较强的主动学习意识和持续学习的能力</w:t>
            </w:r>
          </w:p>
        </w:tc>
      </w:tr>
    </w:tbl>
    <w:p>
      <w:pPr>
        <w:pStyle w:val="5"/>
        <w:widowControl/>
        <w:spacing w:line="460" w:lineRule="exact"/>
        <w:ind w:left="6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spacing w:line="460" w:lineRule="exact"/>
        <w:rPr>
          <w:rFonts w:hint="eastAsia" w:ascii="宋体" w:hAnsi="宋体" w:eastAsia="宋体" w:cs="宋体"/>
          <w:color w:val="000000"/>
          <w:sz w:val="28"/>
          <w:szCs w:val="28"/>
          <w:shd w:val="clear" w:color="auto" w:fill="FFFFFF"/>
        </w:rPr>
      </w:pPr>
      <w:r>
        <w:rPr>
          <w:rFonts w:hint="eastAsia" w:ascii="黑体" w:hAnsi="黑体" w:eastAsia="黑体" w:cs="黑体"/>
          <w:kern w:val="2"/>
          <w:sz w:val="30"/>
          <w:szCs w:val="30"/>
        </w:rPr>
        <w:t xml:space="preserve">  </w:t>
      </w:r>
      <w:r>
        <w:rPr>
          <w:rFonts w:hint="eastAsia" w:ascii="仿宋" w:hAnsi="仿宋" w:eastAsia="仿宋" w:cs="仿宋"/>
          <w:kern w:val="2"/>
          <w:sz w:val="30"/>
          <w:szCs w:val="30"/>
        </w:rPr>
        <w:t>在线测试可采用实验实训操作、情景模拟、提问、才艺展示等形式。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D2"/>
    <w:rsid w:val="007673A4"/>
    <w:rsid w:val="00EF6CD2"/>
    <w:rsid w:val="2F42792B"/>
    <w:rsid w:val="6E584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字符"/>
    <w:basedOn w:val="7"/>
    <w:link w:val="4"/>
    <w:qFormat/>
    <w:uiPriority w:val="0"/>
    <w:rPr>
      <w:kern w:val="2"/>
      <w:sz w:val="18"/>
      <w:szCs w:val="18"/>
    </w:rPr>
  </w:style>
  <w:style w:type="character" w:customStyle="1" w:styleId="9">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905</Words>
  <Characters>924</Characters>
  <Lines>7</Lines>
  <Paragraphs>2</Paragraphs>
  <TotalTime>3</TotalTime>
  <ScaleCrop>false</ScaleCrop>
  <LinksUpToDate>false</LinksUpToDate>
  <CharactersWithSpaces>926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2022-04-01T13:01:00Z</dcterms:created>
  <dc:creator>凉白开</dc:creator>
  <cp:lastModifiedBy>Administrator</cp:lastModifiedBy>
  <cp:lastPrinted>2022-03-17T06:47:00Z</cp:lastPrinted>
  <dcterms:modified xsi:type="dcterms:W3CDTF">2022-04-15T10:04:45Z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F156A730507840FE84142EF2A9FB6D9B</vt:lpwstr>
  </property>
</Properties>
</file>