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80" w:lineRule="exact"/>
        <w:jc w:val="center"/>
        <w:rPr>
          <w:rFonts w:ascii="方正小标宋_GBK" w:hAnsi="黑体" w:eastAsia="方正小标宋_GBK" w:cs="宋体"/>
          <w:spacing w:val="20"/>
          <w:kern w:val="0"/>
          <w:sz w:val="44"/>
          <w:szCs w:val="44"/>
        </w:rPr>
      </w:pPr>
      <w:bookmarkStart w:id="0" w:name="_GoBack"/>
      <w:r>
        <w:rPr>
          <w:rFonts w:hint="eastAsia" w:ascii="方正小标宋_GBK" w:hAnsi="黑体" w:eastAsia="方正小标宋_GBK" w:cs="宋体"/>
          <w:spacing w:val="20"/>
          <w:kern w:val="0"/>
          <w:sz w:val="44"/>
          <w:szCs w:val="44"/>
        </w:rPr>
        <w:t>邵阳学院2022年专升本免试生</w:t>
      </w:r>
    </w:p>
    <w:p>
      <w:pPr>
        <w:widowControl/>
        <w:snapToGrid w:val="0"/>
        <w:spacing w:line="580" w:lineRule="exact"/>
        <w:jc w:val="center"/>
        <w:rPr>
          <w:rFonts w:ascii="方正小标宋_GBK" w:hAnsi="黑体" w:eastAsia="方正小标宋_GBK" w:cs="宋体"/>
          <w:spacing w:val="20"/>
          <w:kern w:val="0"/>
          <w:sz w:val="44"/>
          <w:szCs w:val="44"/>
        </w:rPr>
      </w:pPr>
      <w:r>
        <w:rPr>
          <w:rFonts w:hint="eastAsia" w:ascii="方正小标宋_GBK" w:hAnsi="黑体" w:eastAsia="方正小标宋_GBK" w:cs="宋体"/>
          <w:spacing w:val="20"/>
          <w:kern w:val="0"/>
          <w:sz w:val="44"/>
          <w:szCs w:val="44"/>
        </w:rPr>
        <w:t>职业适应性测试与录取方案</w:t>
      </w:r>
    </w:p>
    <w:p>
      <w:pPr>
        <w:widowControl/>
        <w:spacing w:before="100" w:beforeAutospacing="1" w:after="100" w:afterAutospacing="1" w:line="520" w:lineRule="atLeast"/>
        <w:ind w:firstLine="643"/>
        <w:jc w:val="center"/>
        <w:rPr>
          <w:rFonts w:ascii="宋体" w:hAnsi="宋体" w:eastAsia="宋体" w:cs="宋体"/>
          <w:kern w:val="0"/>
          <w:sz w:val="24"/>
          <w:szCs w:val="24"/>
        </w:rPr>
      </w:pP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根据《关于印发&lt;2022年湖南省普通高等学校专升本考试招生工作实施方案&gt;的通知》（湘教发〔2022〕3号）《邵阳学院2022年专升本招生简章》等文件精神，我校将采用线上测试方式对2022年专升本免试生进行职业适应性测试，现将相关事宜通知如下。</w:t>
      </w:r>
    </w:p>
    <w:p>
      <w:pPr>
        <w:pStyle w:val="2"/>
        <w:snapToGrid w:val="0"/>
        <w:spacing w:line="520" w:lineRule="exact"/>
        <w:ind w:right="272" w:firstLine="641"/>
        <w:jc w:val="both"/>
        <w:rPr>
          <w:rFonts w:ascii="仿宋" w:hAnsi="仿宋" w:eastAsia="仿宋"/>
          <w:b/>
          <w:spacing w:val="4"/>
          <w:kern w:val="2"/>
          <w:sz w:val="32"/>
          <w:szCs w:val="32"/>
          <w:lang w:val="en-US"/>
        </w:rPr>
      </w:pPr>
      <w:r>
        <w:rPr>
          <w:rFonts w:hint="eastAsia" w:ascii="仿宋" w:hAnsi="仿宋" w:eastAsia="仿宋"/>
          <w:b/>
          <w:spacing w:val="4"/>
          <w:kern w:val="2"/>
          <w:sz w:val="32"/>
          <w:szCs w:val="32"/>
          <w:lang w:val="en-US"/>
        </w:rPr>
        <w:t>一、测试对象</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本次专升本免试生职业适应性线上测试对象为经湖南省教育厅审核通过且报考我校的退役大学生士兵、竞赛获奖学生，测试成绩将作为录取的依据。</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退役大学生士兵荣立三等功及以上的免试生可免于参加本次测试直接录取。</w:t>
      </w:r>
    </w:p>
    <w:p>
      <w:pPr>
        <w:pStyle w:val="2"/>
        <w:snapToGrid w:val="0"/>
        <w:spacing w:line="520" w:lineRule="exact"/>
        <w:ind w:right="272" w:firstLine="641"/>
        <w:jc w:val="both"/>
        <w:rPr>
          <w:rFonts w:ascii="仿宋" w:hAnsi="仿宋" w:eastAsia="仿宋"/>
          <w:b/>
          <w:spacing w:val="4"/>
          <w:kern w:val="2"/>
          <w:sz w:val="32"/>
          <w:szCs w:val="32"/>
          <w:lang w:val="en-US"/>
        </w:rPr>
      </w:pPr>
      <w:r>
        <w:rPr>
          <w:rFonts w:hint="eastAsia" w:ascii="仿宋" w:hAnsi="仿宋" w:eastAsia="仿宋"/>
          <w:b/>
          <w:spacing w:val="4"/>
          <w:kern w:val="2"/>
          <w:sz w:val="32"/>
          <w:szCs w:val="32"/>
          <w:lang w:val="en-US"/>
        </w:rPr>
        <w:t>二、招生计划</w:t>
      </w:r>
    </w:p>
    <w:p>
      <w:pPr>
        <w:widowControl/>
        <w:spacing w:before="100" w:beforeAutospacing="1" w:after="100" w:afterAutospacing="1" w:line="440" w:lineRule="atLeast"/>
        <w:jc w:val="center"/>
        <w:rPr>
          <w:rFonts w:ascii="宋体" w:hAnsi="宋体" w:eastAsia="宋体" w:cs="宋体"/>
          <w:kern w:val="0"/>
          <w:sz w:val="28"/>
          <w:szCs w:val="28"/>
        </w:rPr>
      </w:pPr>
      <w:r>
        <w:rPr>
          <w:rFonts w:hint="eastAsia" w:ascii="仿宋" w:hAnsi="仿宋" w:eastAsia="仿宋" w:cs="Times New Roman"/>
          <w:spacing w:val="4"/>
          <w:sz w:val="32"/>
          <w:szCs w:val="32"/>
        </w:rPr>
        <w:t>邵阳学院</w:t>
      </w:r>
      <w:r>
        <w:rPr>
          <w:rFonts w:ascii="仿宋" w:hAnsi="仿宋" w:eastAsia="仿宋" w:cs="Times New Roman"/>
          <w:spacing w:val="4"/>
          <w:sz w:val="32"/>
          <w:szCs w:val="32"/>
        </w:rPr>
        <w:t>2022</w:t>
      </w:r>
      <w:r>
        <w:rPr>
          <w:rFonts w:hint="eastAsia" w:ascii="仿宋" w:hAnsi="仿宋" w:eastAsia="仿宋" w:cs="Times New Roman"/>
          <w:spacing w:val="4"/>
          <w:sz w:val="32"/>
          <w:szCs w:val="32"/>
        </w:rPr>
        <w:t>年专升本免试生招生专业及计划表</w:t>
      </w:r>
    </w:p>
    <w:tbl>
      <w:tblPr>
        <w:tblStyle w:val="8"/>
        <w:tblW w:w="7625" w:type="dxa"/>
        <w:tblInd w:w="56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38"/>
        <w:gridCol w:w="1684"/>
        <w:gridCol w:w="2126"/>
        <w:gridCol w:w="1418"/>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atLeast"/>
        </w:trPr>
        <w:tc>
          <w:tcPr>
            <w:tcW w:w="838" w:type="dxa"/>
            <w:vAlign w:val="center"/>
          </w:tcPr>
          <w:p>
            <w:pPr>
              <w:widowControl/>
              <w:jc w:val="center"/>
              <w:rPr>
                <w:rFonts w:ascii="楷体" w:hAnsi="楷体" w:eastAsia="楷体" w:cs="宋体"/>
                <w:b/>
                <w:bCs/>
                <w:color w:val="333333"/>
                <w:spacing w:val="8"/>
                <w:kern w:val="0"/>
                <w:sz w:val="24"/>
                <w:szCs w:val="24"/>
              </w:rPr>
            </w:pPr>
            <w:r>
              <w:rPr>
                <w:rFonts w:hint="eastAsia" w:ascii="楷体" w:hAnsi="楷体" w:eastAsia="楷体" w:cs="宋体"/>
                <w:b/>
                <w:bCs/>
                <w:color w:val="333333"/>
                <w:spacing w:val="8"/>
                <w:kern w:val="0"/>
                <w:sz w:val="24"/>
                <w:szCs w:val="24"/>
              </w:rPr>
              <w:t>序号</w:t>
            </w:r>
          </w:p>
        </w:tc>
        <w:tc>
          <w:tcPr>
            <w:tcW w:w="1684" w:type="dxa"/>
            <w:tcBorders>
              <w:right w:val="single" w:color="auto" w:sz="4" w:space="0"/>
            </w:tcBorders>
            <w:vAlign w:val="center"/>
          </w:tcPr>
          <w:p>
            <w:pPr>
              <w:widowControl/>
              <w:jc w:val="center"/>
              <w:rPr>
                <w:rFonts w:ascii="楷体" w:hAnsi="楷体" w:eastAsia="楷体" w:cs="宋体"/>
                <w:b/>
                <w:bCs/>
                <w:color w:val="333333"/>
                <w:spacing w:val="8"/>
                <w:kern w:val="0"/>
                <w:sz w:val="24"/>
                <w:szCs w:val="24"/>
              </w:rPr>
            </w:pPr>
            <w:r>
              <w:rPr>
                <w:rFonts w:hint="eastAsia" w:ascii="楷体" w:hAnsi="楷体" w:eastAsia="楷体" w:cs="宋体"/>
                <w:b/>
                <w:bCs/>
                <w:color w:val="333333"/>
                <w:spacing w:val="8"/>
                <w:kern w:val="0"/>
                <w:sz w:val="24"/>
                <w:szCs w:val="24"/>
              </w:rPr>
              <w:t>专业代码</w:t>
            </w:r>
          </w:p>
        </w:tc>
        <w:tc>
          <w:tcPr>
            <w:tcW w:w="2126" w:type="dxa"/>
            <w:tcBorders>
              <w:left w:val="single" w:color="auto" w:sz="4" w:space="0"/>
            </w:tcBorders>
            <w:vAlign w:val="center"/>
          </w:tcPr>
          <w:p>
            <w:pPr>
              <w:widowControl/>
              <w:jc w:val="center"/>
              <w:rPr>
                <w:rFonts w:ascii="楷体" w:hAnsi="楷体" w:eastAsia="楷体" w:cs="宋体"/>
                <w:b/>
                <w:bCs/>
                <w:color w:val="333333"/>
                <w:spacing w:val="8"/>
                <w:kern w:val="0"/>
                <w:sz w:val="24"/>
                <w:szCs w:val="24"/>
              </w:rPr>
            </w:pPr>
            <w:r>
              <w:rPr>
                <w:rFonts w:hint="eastAsia" w:ascii="楷体" w:hAnsi="楷体" w:eastAsia="楷体" w:cs="宋体"/>
                <w:b/>
                <w:bCs/>
                <w:color w:val="333333"/>
                <w:spacing w:val="8"/>
                <w:kern w:val="0"/>
                <w:sz w:val="24"/>
                <w:szCs w:val="24"/>
              </w:rPr>
              <w:t>本科专业</w:t>
            </w:r>
          </w:p>
        </w:tc>
        <w:tc>
          <w:tcPr>
            <w:tcW w:w="1418" w:type="dxa"/>
            <w:vAlign w:val="center"/>
          </w:tcPr>
          <w:p>
            <w:pPr>
              <w:widowControl/>
              <w:jc w:val="center"/>
              <w:rPr>
                <w:rFonts w:ascii="楷体" w:hAnsi="楷体" w:eastAsia="楷体" w:cs="宋体"/>
                <w:b/>
                <w:bCs/>
                <w:color w:val="333333"/>
                <w:spacing w:val="8"/>
                <w:kern w:val="0"/>
                <w:sz w:val="24"/>
                <w:szCs w:val="24"/>
              </w:rPr>
            </w:pPr>
            <w:r>
              <w:rPr>
                <w:rFonts w:hint="eastAsia" w:ascii="楷体" w:hAnsi="楷体" w:eastAsia="楷体" w:cs="宋体"/>
                <w:b/>
                <w:bCs/>
                <w:color w:val="333333"/>
                <w:spacing w:val="8"/>
                <w:kern w:val="0"/>
                <w:sz w:val="24"/>
                <w:szCs w:val="24"/>
              </w:rPr>
              <w:t>学科门类</w:t>
            </w:r>
          </w:p>
        </w:tc>
        <w:tc>
          <w:tcPr>
            <w:tcW w:w="1559" w:type="dxa"/>
            <w:vAlign w:val="center"/>
          </w:tcPr>
          <w:p>
            <w:pPr>
              <w:widowControl/>
              <w:jc w:val="center"/>
              <w:rPr>
                <w:rFonts w:ascii="楷体" w:hAnsi="楷体" w:eastAsia="楷体" w:cs="宋体"/>
                <w:b/>
                <w:bCs/>
                <w:color w:val="333333"/>
                <w:spacing w:val="8"/>
                <w:kern w:val="0"/>
                <w:sz w:val="24"/>
                <w:szCs w:val="24"/>
              </w:rPr>
            </w:pPr>
            <w:r>
              <w:rPr>
                <w:rFonts w:ascii="楷体" w:hAnsi="楷体" w:eastAsia="楷体" w:cs="宋体"/>
                <w:b/>
                <w:bCs/>
                <w:color w:val="333333"/>
                <w:spacing w:val="8"/>
                <w:kern w:val="0"/>
                <w:sz w:val="24"/>
                <w:szCs w:val="24"/>
              </w:rPr>
              <w:t>免试生</w:t>
            </w:r>
            <w:r>
              <w:rPr>
                <w:rFonts w:hint="eastAsia" w:ascii="楷体" w:hAnsi="楷体" w:eastAsia="楷体" w:cs="宋体"/>
                <w:b/>
                <w:bCs/>
                <w:color w:val="333333"/>
                <w:spacing w:val="8"/>
                <w:kern w:val="0"/>
                <w:sz w:val="24"/>
                <w:szCs w:val="24"/>
              </w:rPr>
              <w:t>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atLeast"/>
        </w:trPr>
        <w:tc>
          <w:tcPr>
            <w:tcW w:w="838" w:type="dxa"/>
            <w:vAlign w:val="center"/>
          </w:tcPr>
          <w:p>
            <w:pPr>
              <w:widowControl/>
              <w:jc w:val="center"/>
              <w:rPr>
                <w:rFonts w:ascii="楷体" w:hAnsi="楷体" w:eastAsia="楷体" w:cs="宋体"/>
                <w:bCs/>
                <w:color w:val="333333"/>
                <w:spacing w:val="8"/>
                <w:kern w:val="0"/>
                <w:sz w:val="24"/>
                <w:szCs w:val="24"/>
              </w:rPr>
            </w:pPr>
            <w:r>
              <w:rPr>
                <w:rFonts w:hint="eastAsia" w:ascii="楷体" w:hAnsi="楷体" w:eastAsia="楷体" w:cs="宋体"/>
                <w:bCs/>
                <w:color w:val="333333"/>
                <w:spacing w:val="8"/>
                <w:kern w:val="0"/>
                <w:sz w:val="24"/>
                <w:szCs w:val="24"/>
              </w:rPr>
              <w:t>1</w:t>
            </w:r>
          </w:p>
        </w:tc>
        <w:tc>
          <w:tcPr>
            <w:tcW w:w="1684" w:type="dxa"/>
            <w:tcBorders>
              <w:righ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100201K</w:t>
            </w:r>
          </w:p>
        </w:tc>
        <w:tc>
          <w:tcPr>
            <w:tcW w:w="2126" w:type="dxa"/>
            <w:tcBorders>
              <w:left w:val="single" w:color="auto" w:sz="4" w:space="0"/>
            </w:tcBorders>
            <w:vAlign w:val="center"/>
          </w:tcPr>
          <w:p>
            <w:pPr>
              <w:jc w:val="center"/>
              <w:rPr>
                <w:rFonts w:ascii="楷体" w:hAnsi="楷体" w:eastAsia="楷体"/>
                <w:sz w:val="24"/>
                <w:szCs w:val="24"/>
              </w:rPr>
            </w:pPr>
            <w:r>
              <w:rPr>
                <w:rFonts w:ascii="楷体" w:hAnsi="楷体" w:eastAsia="楷体"/>
                <w:sz w:val="24"/>
                <w:szCs w:val="24"/>
              </w:rPr>
              <w:t>临床医学</w:t>
            </w:r>
          </w:p>
        </w:tc>
        <w:tc>
          <w:tcPr>
            <w:tcW w:w="1418" w:type="dxa"/>
            <w:vAlign w:val="center"/>
          </w:tcPr>
          <w:p>
            <w:pPr>
              <w:jc w:val="center"/>
              <w:rPr>
                <w:rFonts w:ascii="楷体" w:hAnsi="楷体" w:eastAsia="楷体"/>
                <w:sz w:val="24"/>
                <w:szCs w:val="24"/>
              </w:rPr>
            </w:pPr>
            <w:r>
              <w:rPr>
                <w:rFonts w:ascii="楷体" w:hAnsi="楷体" w:eastAsia="楷体"/>
                <w:sz w:val="24"/>
                <w:szCs w:val="24"/>
              </w:rPr>
              <w:t>医学</w:t>
            </w:r>
          </w:p>
        </w:tc>
        <w:tc>
          <w:tcPr>
            <w:tcW w:w="1559" w:type="dxa"/>
            <w:vMerge w:val="restart"/>
            <w:vAlign w:val="center"/>
          </w:tcPr>
          <w:p>
            <w:pPr>
              <w:widowControl/>
              <w:jc w:val="center"/>
              <w:rPr>
                <w:rFonts w:ascii="楷体" w:hAnsi="楷体" w:eastAsia="楷体" w:cs="宋体"/>
                <w:bCs/>
                <w:color w:val="333333"/>
                <w:spacing w:val="8"/>
                <w:kern w:val="0"/>
                <w:sz w:val="24"/>
                <w:szCs w:val="24"/>
              </w:rPr>
            </w:pPr>
            <w:r>
              <w:rPr>
                <w:rFonts w:hint="eastAsia" w:ascii="楷体" w:hAnsi="楷体" w:eastAsia="楷体" w:cs="宋体"/>
                <w:bCs/>
                <w:color w:val="333333"/>
                <w:spacing w:val="8"/>
                <w:kern w:val="0"/>
                <w:sz w:val="24"/>
                <w:szCs w:val="24"/>
              </w:rPr>
              <w:t>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atLeast"/>
        </w:trPr>
        <w:tc>
          <w:tcPr>
            <w:tcW w:w="838" w:type="dxa"/>
            <w:vAlign w:val="center"/>
          </w:tcPr>
          <w:p>
            <w:pPr>
              <w:widowControl/>
              <w:jc w:val="center"/>
              <w:rPr>
                <w:rFonts w:ascii="楷体" w:hAnsi="楷体" w:eastAsia="楷体" w:cs="宋体"/>
                <w:bCs/>
                <w:color w:val="333333"/>
                <w:spacing w:val="8"/>
                <w:kern w:val="0"/>
                <w:sz w:val="24"/>
                <w:szCs w:val="24"/>
              </w:rPr>
            </w:pPr>
            <w:r>
              <w:rPr>
                <w:rFonts w:hint="eastAsia" w:ascii="楷体" w:hAnsi="楷体" w:eastAsia="楷体" w:cs="宋体"/>
                <w:bCs/>
                <w:color w:val="333333"/>
                <w:spacing w:val="8"/>
                <w:kern w:val="0"/>
                <w:sz w:val="24"/>
                <w:szCs w:val="24"/>
              </w:rPr>
              <w:t>2</w:t>
            </w:r>
          </w:p>
        </w:tc>
        <w:tc>
          <w:tcPr>
            <w:tcW w:w="1684" w:type="dxa"/>
            <w:tcBorders>
              <w:righ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101003</w:t>
            </w:r>
          </w:p>
        </w:tc>
        <w:tc>
          <w:tcPr>
            <w:tcW w:w="2126" w:type="dxa"/>
            <w:tcBorders>
              <w:left w:val="single" w:color="auto" w:sz="4" w:space="0"/>
            </w:tcBorders>
            <w:vAlign w:val="center"/>
          </w:tcPr>
          <w:p>
            <w:pPr>
              <w:jc w:val="center"/>
              <w:rPr>
                <w:rFonts w:ascii="楷体" w:hAnsi="楷体" w:eastAsia="楷体"/>
                <w:sz w:val="24"/>
                <w:szCs w:val="24"/>
              </w:rPr>
            </w:pPr>
            <w:r>
              <w:rPr>
                <w:rFonts w:ascii="楷体" w:hAnsi="楷体" w:eastAsia="楷体"/>
                <w:sz w:val="24"/>
                <w:szCs w:val="24"/>
              </w:rPr>
              <w:t>医学影像技术</w:t>
            </w:r>
          </w:p>
        </w:tc>
        <w:tc>
          <w:tcPr>
            <w:tcW w:w="1418" w:type="dxa"/>
            <w:vAlign w:val="center"/>
          </w:tcPr>
          <w:p>
            <w:pPr>
              <w:jc w:val="center"/>
              <w:rPr>
                <w:rFonts w:ascii="楷体" w:hAnsi="楷体" w:eastAsia="楷体"/>
                <w:sz w:val="24"/>
                <w:szCs w:val="24"/>
              </w:rPr>
            </w:pPr>
            <w:r>
              <w:rPr>
                <w:rFonts w:ascii="楷体" w:hAnsi="楷体" w:eastAsia="楷体"/>
                <w:sz w:val="24"/>
                <w:szCs w:val="24"/>
              </w:rPr>
              <w:t>理学</w:t>
            </w:r>
          </w:p>
        </w:tc>
        <w:tc>
          <w:tcPr>
            <w:tcW w:w="1559" w:type="dxa"/>
            <w:vMerge w:val="continue"/>
          </w:tcPr>
          <w:p>
            <w:pPr>
              <w:widowControl/>
              <w:jc w:val="center"/>
              <w:rPr>
                <w:rFonts w:ascii="楷体" w:hAnsi="楷体" w:eastAsia="楷体" w:cs="宋体"/>
                <w:bCs/>
                <w:color w:val="333333"/>
                <w:spacing w:val="8"/>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atLeast"/>
        </w:trPr>
        <w:tc>
          <w:tcPr>
            <w:tcW w:w="838" w:type="dxa"/>
            <w:vAlign w:val="center"/>
          </w:tcPr>
          <w:p>
            <w:pPr>
              <w:widowControl/>
              <w:jc w:val="center"/>
              <w:rPr>
                <w:rFonts w:ascii="楷体" w:hAnsi="楷体" w:eastAsia="楷体" w:cs="宋体"/>
                <w:bCs/>
                <w:color w:val="333333"/>
                <w:spacing w:val="8"/>
                <w:kern w:val="0"/>
                <w:sz w:val="24"/>
                <w:szCs w:val="24"/>
              </w:rPr>
            </w:pPr>
            <w:r>
              <w:rPr>
                <w:rFonts w:hint="eastAsia" w:ascii="楷体" w:hAnsi="楷体" w:eastAsia="楷体" w:cs="宋体"/>
                <w:bCs/>
                <w:color w:val="333333"/>
                <w:spacing w:val="8"/>
                <w:kern w:val="0"/>
                <w:sz w:val="24"/>
                <w:szCs w:val="24"/>
              </w:rPr>
              <w:t>3</w:t>
            </w:r>
          </w:p>
        </w:tc>
        <w:tc>
          <w:tcPr>
            <w:tcW w:w="1684" w:type="dxa"/>
            <w:tcBorders>
              <w:righ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101101</w:t>
            </w:r>
          </w:p>
        </w:tc>
        <w:tc>
          <w:tcPr>
            <w:tcW w:w="2126" w:type="dxa"/>
            <w:tcBorders>
              <w:left w:val="single" w:color="auto" w:sz="4" w:space="0"/>
            </w:tcBorders>
            <w:vAlign w:val="center"/>
          </w:tcPr>
          <w:p>
            <w:pPr>
              <w:jc w:val="center"/>
              <w:rPr>
                <w:rFonts w:ascii="楷体" w:hAnsi="楷体" w:eastAsia="楷体"/>
                <w:sz w:val="24"/>
                <w:szCs w:val="24"/>
              </w:rPr>
            </w:pPr>
            <w:r>
              <w:rPr>
                <w:rFonts w:ascii="楷体" w:hAnsi="楷体" w:eastAsia="楷体"/>
                <w:sz w:val="24"/>
                <w:szCs w:val="24"/>
              </w:rPr>
              <w:t>护理学</w:t>
            </w:r>
          </w:p>
        </w:tc>
        <w:tc>
          <w:tcPr>
            <w:tcW w:w="1418" w:type="dxa"/>
            <w:vAlign w:val="center"/>
          </w:tcPr>
          <w:p>
            <w:pPr>
              <w:jc w:val="center"/>
              <w:rPr>
                <w:rFonts w:ascii="楷体" w:hAnsi="楷体" w:eastAsia="楷体"/>
                <w:sz w:val="24"/>
                <w:szCs w:val="24"/>
              </w:rPr>
            </w:pPr>
            <w:r>
              <w:rPr>
                <w:rFonts w:ascii="楷体" w:hAnsi="楷体" w:eastAsia="楷体"/>
                <w:sz w:val="24"/>
                <w:szCs w:val="24"/>
              </w:rPr>
              <w:t>理学</w:t>
            </w:r>
          </w:p>
        </w:tc>
        <w:tc>
          <w:tcPr>
            <w:tcW w:w="1559" w:type="dxa"/>
            <w:vMerge w:val="continue"/>
          </w:tcPr>
          <w:p>
            <w:pPr>
              <w:widowControl/>
              <w:jc w:val="center"/>
              <w:rPr>
                <w:rFonts w:ascii="楷体" w:hAnsi="楷体" w:eastAsia="楷体" w:cs="宋体"/>
                <w:bCs/>
                <w:color w:val="333333"/>
                <w:spacing w:val="8"/>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atLeast"/>
        </w:trPr>
        <w:tc>
          <w:tcPr>
            <w:tcW w:w="838" w:type="dxa"/>
            <w:vAlign w:val="center"/>
          </w:tcPr>
          <w:p>
            <w:pPr>
              <w:widowControl/>
              <w:jc w:val="center"/>
              <w:rPr>
                <w:rFonts w:ascii="楷体" w:hAnsi="楷体" w:eastAsia="楷体" w:cs="宋体"/>
                <w:bCs/>
                <w:color w:val="333333"/>
                <w:spacing w:val="8"/>
                <w:kern w:val="0"/>
                <w:sz w:val="24"/>
                <w:szCs w:val="24"/>
              </w:rPr>
            </w:pPr>
            <w:r>
              <w:rPr>
                <w:rFonts w:hint="eastAsia" w:ascii="楷体" w:hAnsi="楷体" w:eastAsia="楷体" w:cs="宋体"/>
                <w:bCs/>
                <w:color w:val="333333"/>
                <w:spacing w:val="8"/>
                <w:kern w:val="0"/>
                <w:sz w:val="24"/>
                <w:szCs w:val="24"/>
              </w:rPr>
              <w:t>4</w:t>
            </w:r>
          </w:p>
        </w:tc>
        <w:tc>
          <w:tcPr>
            <w:tcW w:w="1684" w:type="dxa"/>
            <w:tcBorders>
              <w:righ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101005</w:t>
            </w:r>
          </w:p>
        </w:tc>
        <w:tc>
          <w:tcPr>
            <w:tcW w:w="2126" w:type="dxa"/>
            <w:tcBorders>
              <w:lef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康复治疗学</w:t>
            </w:r>
          </w:p>
        </w:tc>
        <w:tc>
          <w:tcPr>
            <w:tcW w:w="1418" w:type="dxa"/>
            <w:vAlign w:val="center"/>
          </w:tcPr>
          <w:p>
            <w:pPr>
              <w:jc w:val="center"/>
              <w:rPr>
                <w:rFonts w:ascii="楷体" w:hAnsi="楷体" w:eastAsia="楷体"/>
                <w:sz w:val="24"/>
                <w:szCs w:val="24"/>
              </w:rPr>
            </w:pPr>
            <w:r>
              <w:rPr>
                <w:rFonts w:ascii="楷体" w:hAnsi="楷体" w:eastAsia="楷体"/>
                <w:sz w:val="24"/>
                <w:szCs w:val="24"/>
              </w:rPr>
              <w:t>理学</w:t>
            </w:r>
          </w:p>
        </w:tc>
        <w:tc>
          <w:tcPr>
            <w:tcW w:w="1559" w:type="dxa"/>
            <w:vMerge w:val="continue"/>
          </w:tcPr>
          <w:p>
            <w:pPr>
              <w:widowControl/>
              <w:jc w:val="center"/>
              <w:rPr>
                <w:rFonts w:ascii="楷体" w:hAnsi="楷体" w:eastAsia="楷体" w:cs="宋体"/>
                <w:bCs/>
                <w:color w:val="333333"/>
                <w:spacing w:val="8"/>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atLeast"/>
        </w:trPr>
        <w:tc>
          <w:tcPr>
            <w:tcW w:w="838" w:type="dxa"/>
            <w:vAlign w:val="center"/>
          </w:tcPr>
          <w:p>
            <w:pPr>
              <w:widowControl/>
              <w:jc w:val="center"/>
              <w:rPr>
                <w:rFonts w:ascii="楷体" w:hAnsi="楷体" w:eastAsia="楷体" w:cs="宋体"/>
                <w:bCs/>
                <w:color w:val="333333"/>
                <w:spacing w:val="8"/>
                <w:kern w:val="0"/>
                <w:sz w:val="24"/>
                <w:szCs w:val="24"/>
              </w:rPr>
            </w:pPr>
            <w:r>
              <w:rPr>
                <w:rFonts w:hint="eastAsia" w:ascii="楷体" w:hAnsi="楷体" w:eastAsia="楷体" w:cs="宋体"/>
                <w:bCs/>
                <w:color w:val="333333"/>
                <w:spacing w:val="8"/>
                <w:kern w:val="0"/>
                <w:sz w:val="24"/>
                <w:szCs w:val="24"/>
              </w:rPr>
              <w:t>5</w:t>
            </w:r>
          </w:p>
        </w:tc>
        <w:tc>
          <w:tcPr>
            <w:tcW w:w="1684" w:type="dxa"/>
            <w:tcBorders>
              <w:righ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130202</w:t>
            </w:r>
          </w:p>
        </w:tc>
        <w:tc>
          <w:tcPr>
            <w:tcW w:w="2126" w:type="dxa"/>
            <w:tcBorders>
              <w:lef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音乐学</w:t>
            </w:r>
          </w:p>
        </w:tc>
        <w:tc>
          <w:tcPr>
            <w:tcW w:w="1418" w:type="dxa"/>
            <w:vAlign w:val="center"/>
          </w:tcPr>
          <w:p>
            <w:pPr>
              <w:jc w:val="center"/>
              <w:rPr>
                <w:rFonts w:ascii="楷体" w:hAnsi="楷体" w:eastAsia="楷体"/>
                <w:sz w:val="24"/>
                <w:szCs w:val="24"/>
              </w:rPr>
            </w:pPr>
            <w:r>
              <w:rPr>
                <w:rFonts w:hint="eastAsia" w:ascii="楷体" w:hAnsi="楷体" w:eastAsia="楷体"/>
                <w:sz w:val="24"/>
                <w:szCs w:val="24"/>
              </w:rPr>
              <w:t>艺术学</w:t>
            </w:r>
          </w:p>
        </w:tc>
        <w:tc>
          <w:tcPr>
            <w:tcW w:w="1559" w:type="dxa"/>
            <w:vMerge w:val="continue"/>
          </w:tcPr>
          <w:p>
            <w:pPr>
              <w:widowControl/>
              <w:jc w:val="center"/>
              <w:rPr>
                <w:rFonts w:ascii="楷体" w:hAnsi="楷体" w:eastAsia="楷体" w:cs="宋体"/>
                <w:bCs/>
                <w:color w:val="333333"/>
                <w:spacing w:val="8"/>
                <w:kern w:val="0"/>
                <w:sz w:val="24"/>
                <w:szCs w:val="24"/>
              </w:rPr>
            </w:pPr>
          </w:p>
        </w:tc>
      </w:tr>
    </w:tbl>
    <w:p>
      <w:pPr>
        <w:pStyle w:val="2"/>
        <w:snapToGrid w:val="0"/>
        <w:spacing w:line="520" w:lineRule="exact"/>
        <w:ind w:right="272" w:firstLine="641"/>
        <w:jc w:val="both"/>
        <w:rPr>
          <w:rFonts w:ascii="仿宋" w:hAnsi="仿宋" w:eastAsia="仿宋"/>
          <w:b/>
          <w:spacing w:val="4"/>
          <w:kern w:val="2"/>
          <w:sz w:val="32"/>
          <w:szCs w:val="32"/>
          <w:lang w:val="en-US"/>
        </w:rPr>
      </w:pPr>
    </w:p>
    <w:p>
      <w:pPr>
        <w:pStyle w:val="2"/>
        <w:snapToGrid w:val="0"/>
        <w:spacing w:line="520" w:lineRule="exact"/>
        <w:ind w:right="272" w:firstLine="641"/>
        <w:jc w:val="both"/>
        <w:rPr>
          <w:rFonts w:ascii="仿宋" w:hAnsi="仿宋" w:eastAsia="仿宋"/>
          <w:b/>
          <w:spacing w:val="4"/>
          <w:kern w:val="2"/>
          <w:sz w:val="32"/>
          <w:szCs w:val="32"/>
          <w:lang w:val="en-US"/>
        </w:rPr>
      </w:pPr>
      <w:r>
        <w:rPr>
          <w:rFonts w:hint="eastAsia" w:ascii="仿宋" w:hAnsi="仿宋" w:eastAsia="仿宋"/>
          <w:b/>
          <w:spacing w:val="4"/>
          <w:kern w:val="2"/>
          <w:sz w:val="32"/>
          <w:szCs w:val="32"/>
          <w:lang w:val="en-US"/>
        </w:rPr>
        <w:t>三、测试内容</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测试总分100分，测试内容包含三部分：自我介绍、学业成绩及职业技能展示和回答提问。以上测试内容均通过录制视频和制作</w:t>
      </w:r>
      <w:r>
        <w:rPr>
          <w:rFonts w:ascii="仿宋" w:hAnsi="仿宋" w:eastAsia="仿宋"/>
          <w:spacing w:val="4"/>
          <w:kern w:val="2"/>
          <w:sz w:val="32"/>
          <w:szCs w:val="32"/>
          <w:lang w:val="en-US"/>
        </w:rPr>
        <w:t>PPT</w:t>
      </w:r>
      <w:r>
        <w:rPr>
          <w:rFonts w:hint="eastAsia" w:ascii="仿宋" w:hAnsi="仿宋" w:eastAsia="仿宋"/>
          <w:spacing w:val="4"/>
          <w:kern w:val="2"/>
          <w:sz w:val="32"/>
          <w:szCs w:val="32"/>
          <w:lang w:val="en-US"/>
        </w:rPr>
        <w:t>完成。</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测试内容一：自我介绍（限时5分钟）；</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测试内容二：学业成绩及职业技能展示（限时5分钟）；</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测试内容三：回答提问（限时5分钟,以下三个问题需全部回答）。</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问题1：请阐述你对所报专业的认识和理解。</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问题2：请阐述你对未来本科生活的期望。</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问题3：请谈谈新冠疫情期间最感动你的一件事情。</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视频可包含以下内容：大学三年学业成绩展示、业余生活展示、兴趣爱好展示、性格能力展示、社会兼职展示、实习实践展示等。退役大学生士兵要有部队生活展示、竞赛获奖考生要有比赛内容展示。</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回答</w:t>
      </w:r>
      <w:r>
        <w:rPr>
          <w:rFonts w:ascii="仿宋" w:hAnsi="仿宋" w:eastAsia="仿宋"/>
          <w:spacing w:val="4"/>
          <w:kern w:val="2"/>
          <w:sz w:val="32"/>
          <w:szCs w:val="32"/>
          <w:lang w:val="en-US"/>
        </w:rPr>
        <w:t>问题每道题目字数适中，占用PPT一页的内容，且需要在视频中讲述。</w:t>
      </w:r>
    </w:p>
    <w:p>
      <w:pPr>
        <w:pStyle w:val="2"/>
        <w:snapToGrid w:val="0"/>
        <w:spacing w:line="520" w:lineRule="exact"/>
        <w:ind w:right="272" w:firstLine="641"/>
        <w:jc w:val="both"/>
        <w:rPr>
          <w:rFonts w:ascii="仿宋" w:hAnsi="仿宋" w:eastAsia="仿宋"/>
          <w:b/>
          <w:spacing w:val="4"/>
          <w:kern w:val="2"/>
          <w:sz w:val="32"/>
          <w:szCs w:val="32"/>
          <w:lang w:val="en-US"/>
        </w:rPr>
      </w:pPr>
      <w:r>
        <w:rPr>
          <w:rFonts w:hint="eastAsia" w:ascii="仿宋" w:hAnsi="仿宋" w:eastAsia="仿宋"/>
          <w:b/>
          <w:spacing w:val="4"/>
          <w:kern w:val="2"/>
          <w:sz w:val="32"/>
          <w:szCs w:val="32"/>
          <w:lang w:val="en-US"/>
        </w:rPr>
        <w:t>四、测试具体要求</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（一）视频的录制要求</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1.考生使用手机拍摄或者专业设备拍摄进行。</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2.考生务必在环境安静整洁、空间亮度适宜考试的环境下考试，避免外界干扰、回音干扰，视频中不能出现除考生外其它可能影响评分的声音。</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3.仪表要求。男生统一着白色上衣、黑色裤子，鞋子搭配得宜，发型要求干净利落；女生要求着职业套装(黑色)或者白色上衣、黑色裤子或黑色裙子，鞋子搭配得宜，发型要求干净利落（长发需要扎起，不能散发）；可以化淡妆，但是不能化浓妆。</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4.为保障拍摄效果，可由他人协助拍摄，但视频中不允许出现除考生外其他人的镜头和声音，考试全程不能暂停、间断，声音和图像需同步，不能有杂音，保持考生始终在画面中，不得转切画面，不能使用美颜、修图、滤镜等效果的手机软件进行拍摄，若使用自带美颜、修图等效果的手机拍摄，请关闭相应功能，不得采用任何技术手段美化、编辑音频和视频。建议考生借助手机支架（三脚架）拍摄，避免视频画面抖动影响观感甚至成绩评定。</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5.考生录制讲解视频时开始需要有全身正面及半身近景正面镜头，全程保证画面清晰；如佩戴框架眼镜须避免镜片反光，如佩戴隐形眼镜须为透明款、不允许佩戴美瞳隐形眼镜。</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6.建议正式拍摄成品前，考生应先通过提前练习，熟练掌握录制流程。</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7.正式提交的材料，拍摄视频画面中只允许出现考生本人，不得出现与考生相关的提示性文字、图案、标识、背景等，不允许考生透露个人信息，如不得出现考生姓名、所在专科学校名称等个人信息，考试过程中如发现有个人信息一律按违规作弊处理。</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8.视频时间为10-15分钟。</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（二）PPT内容中，如涉及到使用的图片上面有考生的姓名和学校，应先进行图片处理，将相关信息遮盖掉。PPT总页数应控制在15页左右。</w:t>
      </w:r>
    </w:p>
    <w:p>
      <w:pPr>
        <w:pStyle w:val="2"/>
        <w:snapToGrid w:val="0"/>
        <w:spacing w:line="520" w:lineRule="exact"/>
        <w:ind w:right="272" w:firstLine="641"/>
        <w:jc w:val="both"/>
        <w:rPr>
          <w:rFonts w:ascii="仿宋" w:hAnsi="仿宋" w:eastAsia="仿宋"/>
          <w:b/>
          <w:spacing w:val="4"/>
          <w:kern w:val="2"/>
          <w:sz w:val="32"/>
          <w:szCs w:val="32"/>
          <w:lang w:val="en-US"/>
        </w:rPr>
      </w:pPr>
      <w:r>
        <w:rPr>
          <w:rFonts w:hint="eastAsia" w:ascii="仿宋" w:hAnsi="仿宋" w:eastAsia="仿宋"/>
          <w:b/>
          <w:spacing w:val="4"/>
          <w:kern w:val="2"/>
          <w:sz w:val="32"/>
          <w:szCs w:val="32"/>
          <w:lang w:val="en-US"/>
        </w:rPr>
        <w:t>五、测试材料提交</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（一）提交的测试材料包括如下三个方面的内容：个人手持身份证正面（有头像面）近身照一张和身份证正面（有头像面）照片一张（如果加水印，关键信息无遮挡）、10-15分钟的视频、与展示内容相关的PPT。</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（二）视频、PPT要求。视频要求提交mp4格式，PPT要求提交pdf格式。文件命名要求：姓名+身份证号码+报考专业+专科学校名称。最后将所有文档和视频放在一个压缩包，压缩包命名规则同上。</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（三）所有测试材料必须在4月8日下午6点前发送到指定邮箱</w:t>
      </w:r>
      <w:r>
        <w:fldChar w:fldCharType="begin"/>
      </w:r>
      <w:r>
        <w:instrText xml:space="preserve"> HYPERLINK "mailto:syxyjwckszx" </w:instrText>
      </w:r>
      <w:r>
        <w:fldChar w:fldCharType="separate"/>
      </w:r>
      <w:r>
        <w:rPr>
          <w:rFonts w:hint="eastAsia" w:ascii="仿宋" w:hAnsi="仿宋" w:eastAsia="仿宋"/>
          <w:spacing w:val="4"/>
          <w:kern w:val="2"/>
          <w:sz w:val="32"/>
          <w:szCs w:val="32"/>
          <w:lang w:val="en-US"/>
        </w:rPr>
        <w:t>syxy</w:t>
      </w:r>
      <w:r>
        <w:rPr>
          <w:rFonts w:ascii="仿宋" w:hAnsi="仿宋" w:eastAsia="仿宋"/>
          <w:spacing w:val="4"/>
          <w:kern w:val="2"/>
          <w:sz w:val="32"/>
          <w:szCs w:val="32"/>
          <w:lang w:val="en-US"/>
        </w:rPr>
        <w:t>jwc</w:t>
      </w:r>
      <w:r>
        <w:rPr>
          <w:rFonts w:hint="eastAsia" w:ascii="仿宋" w:hAnsi="仿宋" w:eastAsia="仿宋"/>
          <w:spacing w:val="4"/>
          <w:kern w:val="2"/>
          <w:sz w:val="32"/>
          <w:szCs w:val="32"/>
          <w:lang w:val="en-US"/>
        </w:rPr>
        <w:t>kszx</w:t>
      </w:r>
      <w:r>
        <w:rPr>
          <w:rFonts w:hint="eastAsia" w:ascii="仿宋" w:hAnsi="仿宋" w:eastAsia="仿宋"/>
          <w:spacing w:val="4"/>
          <w:kern w:val="2"/>
          <w:sz w:val="32"/>
          <w:szCs w:val="32"/>
          <w:lang w:val="en-US"/>
        </w:rPr>
        <w:fldChar w:fldCharType="end"/>
      </w:r>
      <w:r>
        <w:rPr>
          <w:rFonts w:ascii="仿宋" w:hAnsi="仿宋" w:eastAsia="仿宋"/>
          <w:spacing w:val="4"/>
          <w:kern w:val="2"/>
          <w:sz w:val="32"/>
          <w:szCs w:val="32"/>
          <w:lang w:val="en-US"/>
        </w:rPr>
        <w:t>@163.com</w:t>
      </w:r>
      <w:r>
        <w:rPr>
          <w:rFonts w:hint="eastAsia" w:ascii="仿宋" w:hAnsi="仿宋" w:eastAsia="仿宋"/>
          <w:spacing w:val="4"/>
          <w:kern w:val="2"/>
          <w:sz w:val="32"/>
          <w:szCs w:val="32"/>
          <w:lang w:val="en-US"/>
        </w:rPr>
        <w:t>，主题标明免试生测试。邮件发送后请注意查看是否发送成功，防止邮箱填写错误出现投递错误情况。</w:t>
      </w:r>
    </w:p>
    <w:p>
      <w:pPr>
        <w:pStyle w:val="2"/>
        <w:snapToGrid w:val="0"/>
        <w:spacing w:line="520" w:lineRule="exact"/>
        <w:ind w:right="272" w:firstLine="641"/>
        <w:jc w:val="left"/>
        <w:rPr>
          <w:rFonts w:ascii="仿宋" w:hAnsi="仿宋" w:eastAsia="仿宋"/>
          <w:spacing w:val="4"/>
          <w:kern w:val="2"/>
          <w:sz w:val="32"/>
          <w:szCs w:val="32"/>
          <w:lang w:val="en-US"/>
        </w:rPr>
      </w:pPr>
      <w:r>
        <w:rPr>
          <w:rFonts w:hint="eastAsia" w:ascii="仿宋" w:hAnsi="仿宋" w:eastAsia="仿宋"/>
          <w:spacing w:val="4"/>
          <w:kern w:val="2"/>
          <w:sz w:val="32"/>
          <w:szCs w:val="32"/>
          <w:lang w:val="en-US"/>
        </w:rPr>
        <w:t>我校将于4月9日在邵阳学院教务处网站上公示已经收到材料考生名单，未列入公示名单的考生务必在4月9日下午6点之前与我校取得联系。逾期没有联系的，后果由考生本人承担。</w:t>
      </w:r>
    </w:p>
    <w:p>
      <w:pPr>
        <w:pStyle w:val="2"/>
        <w:snapToGrid w:val="0"/>
        <w:spacing w:line="520" w:lineRule="exact"/>
        <w:ind w:right="272" w:firstLine="641"/>
        <w:jc w:val="left"/>
        <w:rPr>
          <w:rFonts w:ascii="仿宋" w:hAnsi="仿宋" w:eastAsia="仿宋"/>
          <w:spacing w:val="4"/>
          <w:kern w:val="2"/>
          <w:sz w:val="32"/>
          <w:szCs w:val="32"/>
          <w:lang w:val="en-US"/>
        </w:rPr>
      </w:pPr>
      <w:r>
        <w:rPr>
          <w:rFonts w:hint="eastAsia" w:ascii="仿宋" w:hAnsi="仿宋" w:eastAsia="仿宋"/>
          <w:spacing w:val="4"/>
          <w:kern w:val="2"/>
          <w:sz w:val="32"/>
          <w:szCs w:val="32"/>
          <w:lang w:val="en-US"/>
        </w:rPr>
        <w:t>公示网址：</w:t>
      </w:r>
      <w:r>
        <w:fldChar w:fldCharType="begin"/>
      </w:r>
      <w:r>
        <w:instrText xml:space="preserve"> HYPERLINK "http://www.hnsyu.edu.cn//jyjx/" </w:instrText>
      </w:r>
      <w:r>
        <w:fldChar w:fldCharType="separate"/>
      </w:r>
      <w:r>
        <w:rPr>
          <w:rFonts w:ascii="仿宋" w:hAnsi="仿宋" w:eastAsia="仿宋"/>
          <w:spacing w:val="4"/>
          <w:kern w:val="2"/>
          <w:sz w:val="32"/>
          <w:szCs w:val="32"/>
          <w:lang w:val="en-US"/>
        </w:rPr>
        <w:t>http://www.hnsyu.edu.cn//jyjx/</w:t>
      </w:r>
      <w:r>
        <w:rPr>
          <w:rFonts w:ascii="仿宋" w:hAnsi="仿宋" w:eastAsia="仿宋"/>
          <w:spacing w:val="4"/>
          <w:kern w:val="2"/>
          <w:sz w:val="32"/>
          <w:szCs w:val="32"/>
          <w:lang w:val="en-US"/>
        </w:rPr>
        <w:fldChar w:fldCharType="end"/>
      </w:r>
    </w:p>
    <w:p>
      <w:pPr>
        <w:pStyle w:val="2"/>
        <w:snapToGrid w:val="0"/>
        <w:spacing w:line="520" w:lineRule="exact"/>
        <w:ind w:right="272" w:firstLine="641"/>
        <w:jc w:val="both"/>
        <w:rPr>
          <w:rFonts w:ascii="仿宋" w:hAnsi="仿宋" w:eastAsia="仿宋"/>
          <w:b/>
          <w:spacing w:val="4"/>
          <w:kern w:val="2"/>
          <w:sz w:val="32"/>
          <w:szCs w:val="32"/>
          <w:lang w:val="en-US"/>
        </w:rPr>
      </w:pPr>
      <w:r>
        <w:rPr>
          <w:rFonts w:hint="eastAsia" w:ascii="仿宋" w:hAnsi="仿宋" w:eastAsia="仿宋"/>
          <w:b/>
          <w:spacing w:val="4"/>
          <w:kern w:val="2"/>
          <w:sz w:val="32"/>
          <w:szCs w:val="32"/>
          <w:lang w:val="en-US"/>
        </w:rPr>
        <w:t>六、测试评分及录取工作</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（一）由专家评委分仪表、PPT内容、回答提问和讲解表达四个模块打分。</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（二）</w:t>
      </w:r>
      <w:r>
        <w:rPr>
          <w:rFonts w:ascii="仿宋" w:hAnsi="仿宋" w:eastAsia="仿宋"/>
          <w:spacing w:val="4"/>
          <w:kern w:val="2"/>
          <w:sz w:val="32"/>
          <w:szCs w:val="32"/>
          <w:lang w:val="en-US"/>
        </w:rPr>
        <w:t>依据湖南省2022年免试生的录取原则，具体录取方案如下：</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1.根据免试生的实际报考人数，分竞赛生和退役大学生士兵两类进行录取，两类的录取比例原则上相同。</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2.邵阳学院免试生计划的专业计划数，依据报考我校的竞赛生和退役大学生士兵实际人数，按比例进行分配，分类别按照测试总成绩分别排队录取。</w:t>
      </w:r>
      <w:r>
        <w:rPr>
          <w:rFonts w:hint="eastAsia" w:ascii="仿宋" w:hAnsi="仿宋" w:eastAsia="仿宋"/>
          <w:b/>
          <w:spacing w:val="4"/>
          <w:kern w:val="2"/>
          <w:sz w:val="32"/>
          <w:szCs w:val="32"/>
          <w:lang w:val="en-US"/>
        </w:rPr>
        <w:t>总分相同的按PPT内容和讲解表达两个模块相加总分排序，仍然相同的按PPT内容模块得分排序。</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3.最后再将录取的免试生按系统里填报的个人专业志愿，编入我校2022年专升本相关招生专业。有免试生招生计划的各专业录取的免试生数量原则上不受限制。</w:t>
      </w:r>
    </w:p>
    <w:p>
      <w:pPr>
        <w:pStyle w:val="2"/>
        <w:snapToGrid w:val="0"/>
        <w:spacing w:line="520" w:lineRule="exact"/>
        <w:ind w:right="272" w:firstLine="641"/>
        <w:jc w:val="both"/>
        <w:rPr>
          <w:rFonts w:ascii="仿宋" w:hAnsi="仿宋" w:eastAsia="仿宋"/>
          <w:b/>
          <w:spacing w:val="4"/>
          <w:kern w:val="2"/>
          <w:sz w:val="32"/>
          <w:szCs w:val="32"/>
          <w:lang w:val="en-US"/>
        </w:rPr>
      </w:pPr>
      <w:r>
        <w:rPr>
          <w:rFonts w:hint="eastAsia" w:ascii="仿宋" w:hAnsi="仿宋" w:eastAsia="仿宋"/>
          <w:b/>
          <w:spacing w:val="4"/>
          <w:kern w:val="2"/>
          <w:sz w:val="32"/>
          <w:szCs w:val="32"/>
          <w:lang w:val="en-US"/>
        </w:rPr>
        <w:t>七、违规违纪处理</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对在招生考试过程中违规违纪的考生，按照《国家教育考试违规处理办法》《普通高等学校招生违规行为处理暂行办法》等规定严肃处理。对有弄虚作假等作弊行为的考生，将取消相关考试的免试录取资格，同时通报湖南省教育厅。</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经查实属提供虚假成绩材料、替考、冒名顶替入学等违规行为的，取消该生录取资格，并通报给湖南省教育厅倒查追责，依法处理。</w:t>
      </w:r>
    </w:p>
    <w:p>
      <w:pPr>
        <w:pStyle w:val="2"/>
        <w:snapToGrid w:val="0"/>
        <w:spacing w:line="520" w:lineRule="exact"/>
        <w:ind w:right="272" w:firstLine="641"/>
        <w:jc w:val="both"/>
        <w:rPr>
          <w:rFonts w:ascii="仿宋" w:hAnsi="仿宋" w:eastAsia="仿宋"/>
          <w:b/>
          <w:spacing w:val="4"/>
          <w:kern w:val="2"/>
          <w:sz w:val="32"/>
          <w:szCs w:val="32"/>
          <w:lang w:val="en-US"/>
        </w:rPr>
      </w:pPr>
      <w:r>
        <w:rPr>
          <w:rFonts w:hint="eastAsia" w:ascii="仿宋" w:hAnsi="仿宋" w:eastAsia="仿宋"/>
          <w:b/>
          <w:spacing w:val="4"/>
          <w:kern w:val="2"/>
          <w:sz w:val="32"/>
          <w:szCs w:val="32"/>
          <w:lang w:val="en-US"/>
        </w:rPr>
        <w:t xml:space="preserve">八、联系方式 </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联系电话：0739-5430031</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时间：8:00-11:30，14:00-17:30。</w:t>
      </w:r>
    </w:p>
    <w:p>
      <w:pPr>
        <w:pStyle w:val="2"/>
        <w:snapToGrid w:val="0"/>
        <w:spacing w:line="520" w:lineRule="exact"/>
        <w:ind w:right="272" w:firstLine="641"/>
        <w:jc w:val="both"/>
        <w:rPr>
          <w:rFonts w:ascii="仿宋" w:hAnsi="仿宋" w:eastAsia="仿宋"/>
          <w:spacing w:val="4"/>
          <w:kern w:val="2"/>
          <w:sz w:val="32"/>
          <w:szCs w:val="32"/>
          <w:lang w:val="en-US"/>
        </w:rPr>
      </w:pPr>
      <w:r>
        <w:rPr>
          <w:rFonts w:hint="eastAsia" w:ascii="仿宋" w:hAnsi="仿宋" w:eastAsia="仿宋"/>
          <w:spacing w:val="4"/>
          <w:kern w:val="2"/>
          <w:sz w:val="32"/>
          <w:szCs w:val="32"/>
          <w:lang w:val="en-US"/>
        </w:rPr>
        <w:t>邮箱：</w:t>
      </w:r>
      <w:r>
        <w:fldChar w:fldCharType="begin"/>
      </w:r>
      <w:r>
        <w:instrText xml:space="preserve"> HYPERLINK "mailto:syxyjwczsbts" </w:instrText>
      </w:r>
      <w:r>
        <w:fldChar w:fldCharType="separate"/>
      </w:r>
      <w:r>
        <w:rPr>
          <w:rStyle w:val="11"/>
          <w:rFonts w:hint="eastAsia" w:ascii="仿宋" w:hAnsi="仿宋" w:eastAsia="仿宋"/>
          <w:spacing w:val="4"/>
          <w:kern w:val="2"/>
          <w:sz w:val="32"/>
          <w:szCs w:val="32"/>
          <w:lang w:val="en-US"/>
        </w:rPr>
        <w:t>syxy</w:t>
      </w:r>
      <w:r>
        <w:rPr>
          <w:rStyle w:val="11"/>
          <w:rFonts w:ascii="仿宋" w:hAnsi="仿宋" w:eastAsia="仿宋"/>
          <w:spacing w:val="4"/>
          <w:kern w:val="2"/>
          <w:sz w:val="32"/>
          <w:szCs w:val="32"/>
          <w:lang w:val="en-US"/>
        </w:rPr>
        <w:t>jwc</w:t>
      </w:r>
      <w:r>
        <w:rPr>
          <w:rStyle w:val="11"/>
          <w:rFonts w:hint="eastAsia" w:ascii="仿宋" w:hAnsi="仿宋" w:eastAsia="仿宋"/>
          <w:spacing w:val="4"/>
          <w:kern w:val="2"/>
          <w:sz w:val="32"/>
          <w:szCs w:val="32"/>
          <w:lang w:val="en-US"/>
        </w:rPr>
        <w:t>zsbts</w:t>
      </w:r>
      <w:r>
        <w:rPr>
          <w:rStyle w:val="11"/>
          <w:rFonts w:hint="eastAsia" w:ascii="仿宋" w:hAnsi="仿宋" w:eastAsia="仿宋"/>
          <w:spacing w:val="4"/>
          <w:kern w:val="2"/>
          <w:sz w:val="32"/>
          <w:szCs w:val="32"/>
          <w:lang w:val="en-US"/>
        </w:rPr>
        <w:fldChar w:fldCharType="end"/>
      </w:r>
      <w:r>
        <w:rPr>
          <w:rFonts w:ascii="仿宋" w:hAnsi="仿宋" w:eastAsia="仿宋"/>
          <w:spacing w:val="4"/>
          <w:kern w:val="2"/>
          <w:sz w:val="32"/>
          <w:szCs w:val="32"/>
          <w:lang w:val="en-US"/>
        </w:rPr>
        <w:t>@163.com</w:t>
      </w:r>
    </w:p>
    <w:p>
      <w:pPr>
        <w:pStyle w:val="2"/>
        <w:snapToGrid w:val="0"/>
        <w:spacing w:line="520" w:lineRule="exact"/>
        <w:ind w:right="272" w:firstLine="641"/>
        <w:jc w:val="both"/>
        <w:rPr>
          <w:rFonts w:ascii="仿宋" w:hAnsi="仿宋" w:eastAsia="仿宋"/>
          <w:spacing w:val="4"/>
          <w:kern w:val="2"/>
          <w:sz w:val="32"/>
          <w:szCs w:val="32"/>
          <w:lang w:val="en-US"/>
        </w:rPr>
      </w:pPr>
    </w:p>
    <w:p>
      <w:pPr>
        <w:spacing w:line="520" w:lineRule="exact"/>
        <w:ind w:right="480"/>
        <w:jc w:val="right"/>
        <w:rPr>
          <w:rFonts w:ascii="仿宋" w:hAnsi="仿宋" w:eastAsia="仿宋" w:cs="仿宋"/>
          <w:sz w:val="32"/>
          <w:szCs w:val="32"/>
        </w:rPr>
      </w:pPr>
      <w:r>
        <w:rPr>
          <w:rFonts w:hint="eastAsia" w:ascii="仿宋" w:hAnsi="仿宋" w:eastAsia="仿宋" w:cs="仿宋"/>
          <w:sz w:val="32"/>
          <w:szCs w:val="32"/>
        </w:rPr>
        <w:t>邵阳学院</w:t>
      </w:r>
    </w:p>
    <w:p>
      <w:pPr>
        <w:spacing w:line="520" w:lineRule="exact"/>
        <w:jc w:val="right"/>
        <w:rPr>
          <w:rFonts w:ascii="仿宋" w:hAnsi="仿宋" w:eastAsia="仿宋" w:cs="仿宋"/>
          <w:sz w:val="32"/>
          <w:szCs w:val="32"/>
        </w:rPr>
      </w:pPr>
      <w:r>
        <w:rPr>
          <w:rFonts w:hint="eastAsia" w:ascii="仿宋" w:hAnsi="仿宋" w:eastAsia="仿宋" w:cs="仿宋"/>
          <w:sz w:val="32"/>
          <w:szCs w:val="32"/>
        </w:rPr>
        <w:t>2022年4月3日</w:t>
      </w:r>
    </w:p>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3815069"/>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1D"/>
    <w:rsid w:val="000249E9"/>
    <w:rsid w:val="00047F2C"/>
    <w:rsid w:val="00071CF4"/>
    <w:rsid w:val="00081156"/>
    <w:rsid w:val="000D3105"/>
    <w:rsid w:val="000D4245"/>
    <w:rsid w:val="000E7485"/>
    <w:rsid w:val="001254D6"/>
    <w:rsid w:val="00150406"/>
    <w:rsid w:val="001550B4"/>
    <w:rsid w:val="00171A70"/>
    <w:rsid w:val="001B3BD6"/>
    <w:rsid w:val="001B5E0C"/>
    <w:rsid w:val="001E3791"/>
    <w:rsid w:val="002C2073"/>
    <w:rsid w:val="0032241F"/>
    <w:rsid w:val="00322EE3"/>
    <w:rsid w:val="003270A1"/>
    <w:rsid w:val="00337BFA"/>
    <w:rsid w:val="0034688E"/>
    <w:rsid w:val="003616EE"/>
    <w:rsid w:val="00382C39"/>
    <w:rsid w:val="003E4195"/>
    <w:rsid w:val="003E7BA7"/>
    <w:rsid w:val="00423ED2"/>
    <w:rsid w:val="004709A0"/>
    <w:rsid w:val="00495357"/>
    <w:rsid w:val="004A42B2"/>
    <w:rsid w:val="004B19CB"/>
    <w:rsid w:val="004B3696"/>
    <w:rsid w:val="004C0A20"/>
    <w:rsid w:val="0052070A"/>
    <w:rsid w:val="00544750"/>
    <w:rsid w:val="005678BA"/>
    <w:rsid w:val="005921E0"/>
    <w:rsid w:val="005C0656"/>
    <w:rsid w:val="005C5C67"/>
    <w:rsid w:val="005D75D9"/>
    <w:rsid w:val="005F77B9"/>
    <w:rsid w:val="00604E93"/>
    <w:rsid w:val="00624374"/>
    <w:rsid w:val="00631E43"/>
    <w:rsid w:val="00643D6D"/>
    <w:rsid w:val="00644162"/>
    <w:rsid w:val="0064710C"/>
    <w:rsid w:val="006479D9"/>
    <w:rsid w:val="0065622E"/>
    <w:rsid w:val="00664A45"/>
    <w:rsid w:val="006D03E8"/>
    <w:rsid w:val="00707593"/>
    <w:rsid w:val="00725394"/>
    <w:rsid w:val="007558E7"/>
    <w:rsid w:val="00757F2A"/>
    <w:rsid w:val="007744FE"/>
    <w:rsid w:val="007866A6"/>
    <w:rsid w:val="007A29B9"/>
    <w:rsid w:val="007A5C36"/>
    <w:rsid w:val="007C32E7"/>
    <w:rsid w:val="007C33EF"/>
    <w:rsid w:val="007D2A20"/>
    <w:rsid w:val="007E76D5"/>
    <w:rsid w:val="007F4C99"/>
    <w:rsid w:val="008341E5"/>
    <w:rsid w:val="00845478"/>
    <w:rsid w:val="008613F4"/>
    <w:rsid w:val="008A2F41"/>
    <w:rsid w:val="008B4961"/>
    <w:rsid w:val="008B55CF"/>
    <w:rsid w:val="008B5EF8"/>
    <w:rsid w:val="008E157F"/>
    <w:rsid w:val="009119A9"/>
    <w:rsid w:val="00915BC3"/>
    <w:rsid w:val="0092272D"/>
    <w:rsid w:val="00924E15"/>
    <w:rsid w:val="009378FA"/>
    <w:rsid w:val="00962C69"/>
    <w:rsid w:val="00990C9F"/>
    <w:rsid w:val="009A35C8"/>
    <w:rsid w:val="009E54F3"/>
    <w:rsid w:val="00A036BB"/>
    <w:rsid w:val="00A1106A"/>
    <w:rsid w:val="00A13947"/>
    <w:rsid w:val="00A50A8B"/>
    <w:rsid w:val="00A665F9"/>
    <w:rsid w:val="00A85BC0"/>
    <w:rsid w:val="00A9346A"/>
    <w:rsid w:val="00AA03EA"/>
    <w:rsid w:val="00AB17F8"/>
    <w:rsid w:val="00AC67D5"/>
    <w:rsid w:val="00B015A3"/>
    <w:rsid w:val="00B02C67"/>
    <w:rsid w:val="00B05BE8"/>
    <w:rsid w:val="00B341AD"/>
    <w:rsid w:val="00B462C0"/>
    <w:rsid w:val="00BC217D"/>
    <w:rsid w:val="00C13963"/>
    <w:rsid w:val="00C74C69"/>
    <w:rsid w:val="00CA33D1"/>
    <w:rsid w:val="00CA793C"/>
    <w:rsid w:val="00CD7C02"/>
    <w:rsid w:val="00CE4F25"/>
    <w:rsid w:val="00D036E4"/>
    <w:rsid w:val="00DA05BA"/>
    <w:rsid w:val="00DA0CF2"/>
    <w:rsid w:val="00DA227D"/>
    <w:rsid w:val="00DE2D60"/>
    <w:rsid w:val="00E10D1D"/>
    <w:rsid w:val="00E83A91"/>
    <w:rsid w:val="00E94CD7"/>
    <w:rsid w:val="00EB448F"/>
    <w:rsid w:val="00EC7BFB"/>
    <w:rsid w:val="00EF71D6"/>
    <w:rsid w:val="00F14C8B"/>
    <w:rsid w:val="00F350F2"/>
    <w:rsid w:val="00F82C06"/>
    <w:rsid w:val="00FD409A"/>
    <w:rsid w:val="00FF1D46"/>
    <w:rsid w:val="7BE629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7"/>
    <w:qFormat/>
    <w:uiPriority w:val="0"/>
    <w:pPr>
      <w:autoSpaceDE w:val="0"/>
      <w:autoSpaceDN w:val="0"/>
      <w:adjustRightInd w:val="0"/>
      <w:spacing w:line="500" w:lineRule="exact"/>
      <w:jc w:val="center"/>
    </w:pPr>
    <w:rPr>
      <w:rFonts w:ascii="Times New Roman" w:hAnsi="Times New Roman" w:eastAsia="宋体" w:cs="Times New Roman"/>
      <w:kern w:val="0"/>
      <w:sz w:val="28"/>
      <w:szCs w:val="28"/>
      <w:lang w:val="zh-CN"/>
    </w:rPr>
  </w:style>
  <w:style w:type="paragraph" w:styleId="3">
    <w:name w:val="Balloon Text"/>
    <w:basedOn w:val="1"/>
    <w:link w:val="14"/>
    <w:semiHidden/>
    <w:unhideWhenUsed/>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000FF"/>
      <w:u w:val="none"/>
    </w:rPr>
  </w:style>
  <w:style w:type="paragraph" w:customStyle="1" w:styleId="12">
    <w:name w:val="list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tjp"/>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Char"/>
    <w:basedOn w:val="9"/>
    <w:link w:val="3"/>
    <w:semiHidden/>
    <w:qFormat/>
    <w:uiPriority w:val="99"/>
    <w:rPr>
      <w:sz w:val="18"/>
      <w:szCs w:val="18"/>
    </w:rPr>
  </w:style>
  <w:style w:type="character" w:customStyle="1" w:styleId="15">
    <w:name w:val="页眉 Char"/>
    <w:basedOn w:val="9"/>
    <w:link w:val="5"/>
    <w:uiPriority w:val="99"/>
    <w:rPr>
      <w:sz w:val="18"/>
      <w:szCs w:val="18"/>
    </w:rPr>
  </w:style>
  <w:style w:type="character" w:customStyle="1" w:styleId="16">
    <w:name w:val="页脚 Char"/>
    <w:basedOn w:val="9"/>
    <w:link w:val="4"/>
    <w:qFormat/>
    <w:uiPriority w:val="99"/>
    <w:rPr>
      <w:sz w:val="18"/>
      <w:szCs w:val="18"/>
    </w:rPr>
  </w:style>
  <w:style w:type="character" w:customStyle="1" w:styleId="17">
    <w:name w:val="正文文本 Char"/>
    <w:basedOn w:val="9"/>
    <w:link w:val="2"/>
    <w:qFormat/>
    <w:uiPriority w:val="0"/>
    <w:rPr>
      <w:rFonts w:ascii="Times New Roman" w:hAnsi="Times New Roman" w:eastAsia="宋体" w:cs="Times New Roman"/>
      <w:kern w:val="0"/>
      <w:sz w:val="28"/>
      <w:szCs w:val="28"/>
      <w:lang w:val="zh-CN"/>
    </w:rPr>
  </w:style>
  <w:style w:type="paragraph" w:styleId="18">
    <w:name w:val="No Spacing"/>
    <w:link w:val="19"/>
    <w:qFormat/>
    <w:uiPriority w:val="1"/>
    <w:rPr>
      <w:rFonts w:asciiTheme="minorHAnsi" w:hAnsiTheme="minorHAnsi" w:eastAsiaTheme="minorEastAsia" w:cstheme="minorBidi"/>
      <w:kern w:val="0"/>
      <w:sz w:val="22"/>
      <w:szCs w:val="22"/>
      <w:lang w:val="en-US" w:eastAsia="zh-CN" w:bidi="ar-SA"/>
    </w:rPr>
  </w:style>
  <w:style w:type="character" w:customStyle="1" w:styleId="19">
    <w:name w:val="无间隔 Char"/>
    <w:basedOn w:val="9"/>
    <w:link w:val="18"/>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4EA14-3E2E-4274-BE6F-E432C95B0962}">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2179</Words>
  <Characters>2376</Characters>
  <Lines>18</Lines>
  <Paragraphs>5</Paragraphs>
  <TotalTime>356</TotalTime>
  <ScaleCrop>false</ScaleCrop>
  <LinksUpToDate>false</LinksUpToDate>
  <CharactersWithSpaces>2377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2022-03-22T09:04:00Z</dcterms:created>
  <dc:creator>Administrator</dc:creator>
  <cp:lastModifiedBy>Administrator</cp:lastModifiedBy>
  <cp:lastPrinted>2022-04-03T02:32:00Z</cp:lastPrinted>
  <dcterms:modified xsi:type="dcterms:W3CDTF">2022-04-21T07:06:01Z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F950DF0AEB87485293A228FC45A47257</vt:lpwstr>
  </property>
</Properties>
</file>