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871" w:lineRule="atLeast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级“专升本”学生缴费须知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</w:rPr>
        <w:t>我校已全面实行网上缴费。请20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2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级专升本学生务必于20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2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年8月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27</w:t>
      </w:r>
      <w:bookmarkStart w:id="0" w:name="_GoBack"/>
      <w:bookmarkEnd w:id="0"/>
      <w:r>
        <w:rPr>
          <w:rFonts w:ascii="宋体" w:hAnsi="宋体" w:eastAsia="宋体" w:cs="宋体"/>
          <w:color w:val="333333"/>
          <w:kern w:val="0"/>
          <w:sz w:val="27"/>
          <w:szCs w:val="27"/>
        </w:rPr>
        <w:t>日前，登录四川文理学院学生缴费服务平台自助缴费，缴费流程如下。</w:t>
      </w:r>
    </w:p>
    <w:p>
      <w:pPr>
        <w:widowControl/>
        <w:numPr>
          <w:ilvl w:val="0"/>
          <w:numId w:val="2"/>
        </w:numPr>
        <w:shd w:val="clear" w:color="auto" w:fill="FFFFFF"/>
        <w:ind w:left="270" w:leftChars="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通过微信公众号缴费方式如下：</w:t>
      </w:r>
    </w:p>
    <w:p>
      <w:pPr>
        <w:widowControl/>
        <w:numPr>
          <w:ilvl w:val="0"/>
          <w:numId w:val="3"/>
        </w:numPr>
        <w:shd w:val="clear" w:color="auto" w:fill="FFFFFF"/>
        <w:ind w:firstLine="540" w:firstLineChars="20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关注四川文理学院微信公众号“scwl1976”-i文理-在线服务-学生网上缴费，输入用户名和密码登录（用户名：本人身份证号，初始密码：身份证号后6位，若有字母，则为大写）</w:t>
      </w:r>
    </w:p>
    <w:p>
      <w:pPr>
        <w:widowControl/>
        <w:numPr>
          <w:ilvl w:val="0"/>
          <w:numId w:val="3"/>
        </w:numPr>
        <w:shd w:val="clear" w:color="auto" w:fill="FFFFFF"/>
        <w:ind w:firstLine="540" w:firstLineChars="20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分别点击“应收款缴费”、“其他缴费”，选择缴费项目，然后点击右下角“提交”“网上支付”</w:t>
      </w:r>
    </w:p>
    <w:p>
      <w:pPr>
        <w:widowControl/>
        <w:numPr>
          <w:ilvl w:val="0"/>
          <w:numId w:val="3"/>
        </w:numPr>
        <w:shd w:val="clear" w:color="auto" w:fill="FFFFFF"/>
        <w:ind w:firstLine="540" w:firstLineChars="20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跳转到微信支付界面，完成支付。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注意：支付前应确保微信零钱或者绑定的银行卡余额充足，支付成功后切勿删除订单。</w:t>
      </w:r>
    </w:p>
    <w:p>
      <w:pPr>
        <w:widowControl/>
        <w:numPr>
          <w:ilvl w:val="0"/>
          <w:numId w:val="2"/>
        </w:numPr>
        <w:shd w:val="clear" w:color="auto" w:fill="FFFFFF"/>
        <w:ind w:left="270" w:leftChars="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网上缴费平台缴费流程如下：</w:t>
      </w:r>
    </w:p>
    <w:p>
      <w:pPr>
        <w:widowControl/>
        <w:numPr>
          <w:ilvl w:val="0"/>
          <w:numId w:val="4"/>
        </w:numPr>
        <w:shd w:val="clear" w:color="auto" w:fill="FFFFFF"/>
        <w:ind w:firstLine="540" w:firstLineChars="20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登录四川文理学院计划财务处官网http://jcc.sasu.edu.cn，学生缴费--网上缴费平台，输入用户名和密码登录（用户名：本人身份证号，初始密码：身份证号后6位，若有字母，则为大写）</w:t>
      </w:r>
    </w:p>
    <w:p>
      <w:pPr>
        <w:widowControl/>
        <w:numPr>
          <w:ilvl w:val="0"/>
          <w:numId w:val="0"/>
        </w:numPr>
        <w:shd w:val="clear" w:color="auto" w:fill="FFFFFF"/>
        <w:ind w:firstLine="540" w:firstLineChars="20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2、分别点击“应收款缴费”、“其他缴费”，选择缴费项目，然后点击“支付”</w:t>
      </w:r>
    </w:p>
    <w:p>
      <w:pPr>
        <w:widowControl/>
        <w:numPr>
          <w:ilvl w:val="0"/>
          <w:numId w:val="0"/>
        </w:numPr>
        <w:shd w:val="clear" w:color="auto" w:fill="FFFFFF"/>
        <w:ind w:firstLine="540" w:firstLineChars="200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3、进入支付界面，按操作提示完成支付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 xml:space="preserve">                    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二、网上缴费注意事项：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270" w:firstLineChars="100"/>
        <w:jc w:val="left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eastAsia="zh-CN"/>
        </w:rPr>
        <w:t>（一）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缴费方式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E53333"/>
          <w:kern w:val="0"/>
          <w:sz w:val="30"/>
          <w:szCs w:val="30"/>
        </w:rPr>
        <w:t> </w:t>
      </w:r>
      <w:r>
        <w:rPr>
          <w:rFonts w:hint="eastAsia" w:ascii="宋体" w:hAnsi="宋体" w:eastAsia="宋体" w:cs="宋体"/>
          <w:color w:val="auto"/>
          <w:kern w:val="0"/>
          <w:sz w:val="40"/>
          <w:szCs w:val="40"/>
        </w:rPr>
        <w:t>扫码支付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可选择使用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微信、支付宝或工商银行</w:t>
      </w:r>
      <w:r>
        <w:rPr>
          <w:rFonts w:ascii="宋体" w:hAnsi="宋体" w:eastAsia="宋体" w:cs="宋体"/>
          <w:b/>
          <w:bCs/>
          <w:color w:val="333333"/>
          <w:kern w:val="0"/>
          <w:sz w:val="27"/>
        </w:rPr>
        <w:t>APP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任意一种方式进行扫描二维码支付。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2、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明确微信、支付宝及其所绑定的银行卡的支付限额，若无法一次性支付成功，可分多次、多日进行支付。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当次生成的二维码有效期为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60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秒，必须在有效期内完成扫码，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若提示“操作超时”，则需删除原订单，重新生成新的二维码方可再次扫码。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0" w:firstLineChars="200"/>
        <w:jc w:val="left"/>
        <w:rPr>
          <w:rFonts w:ascii="宋体" w:hAnsi="宋体" w:eastAsia="宋体" w:cs="宋体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不能使用不同的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APP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同时扫描同一个二维码，若提示“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第三方</w:t>
      </w:r>
      <w:r>
        <w:rPr>
          <w:rFonts w:ascii="宋体" w:hAnsi="宋体" w:eastAsia="宋体" w:cs="宋体"/>
          <w:b/>
          <w:bCs/>
          <w:color w:val="333333"/>
          <w:kern w:val="0"/>
          <w:sz w:val="27"/>
        </w:rPr>
        <w:t>APP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主扫不支持二次支付”，则需删除原订单，重新生成新的二维码方可再次扫码。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宋体" w:hAnsi="宋体" w:eastAsia="宋体" w:cs="宋体"/>
          <w:b/>
          <w:bCs/>
          <w:color w:val="333333"/>
          <w:kern w:val="0"/>
          <w:sz w:val="27"/>
        </w:rPr>
      </w:pP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</w:rPr>
        <w:t> </w:t>
      </w:r>
      <w:r>
        <w:rPr>
          <w:rFonts w:ascii="宋体" w:hAnsi="宋体" w:eastAsia="宋体" w:cs="宋体"/>
          <w:color w:val="333333"/>
          <w:kern w:val="0"/>
          <w:sz w:val="27"/>
        </w:rPr>
        <w:t>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</w:rPr>
        <w:t>网银支付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不支持使用“手机”浏览器进行网银支付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；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建议使用中国工商银行的银行卡支付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，进行支付所使用的银行卡持卡人不限，可使用他人银行卡代为支付。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进行支付时请明确该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银行卡的支付限额、使用范围、卡种限制等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，并保证该银行卡余额大于需要支付的额度；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若支付过程中，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确认银行卡已被扣款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（已收到银行扣款短信，或通过网上银行查询到扣款记录），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微信、支付宝已完成支付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，但收费系统仍显示欠费，可能是因网络延迟造成未收到银行反馈信息，请于扣款完成半小时后刷新查看，若仍显示欠费，请将支付成功的账单详情截图、个人信息、联系方式发送至计划财务处工作邮箱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jccsasu@sina.com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，我处工作人员将据此及时与银行核实，并会将结果反馈给您，</w:t>
      </w: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切勿在确认之前重复缴费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！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ind w:firstLine="54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5、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缴费之前请仔细阅读计划财务处官网（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http://jcc.sasu.edu.cn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）的</w:t>
      </w:r>
      <w:r>
        <w:fldChar w:fldCharType="begin"/>
      </w:r>
      <w:r>
        <w:instrText xml:space="preserve"> HYPERLINK "http://jcc.sasu.edu.cn/show_news.php?ID=1708" \t "_blank"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color w:val="1F3A87"/>
          <w:kern w:val="0"/>
          <w:sz w:val="27"/>
          <w:u w:val="single"/>
        </w:rPr>
        <w:t>网上缴费指南</w:t>
      </w:r>
      <w:r>
        <w:rPr>
          <w:rFonts w:hint="eastAsia" w:ascii="宋体" w:hAnsi="宋体" w:eastAsia="宋体" w:cs="宋体"/>
          <w:b/>
          <w:bCs/>
          <w:color w:val="1F3A87"/>
          <w:kern w:val="0"/>
          <w:sz w:val="27"/>
          <w:u w:val="single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，若支付过程中出现异常可以查看</w:t>
      </w:r>
      <w:r>
        <w:fldChar w:fldCharType="begin"/>
      </w:r>
      <w:r>
        <w:instrText xml:space="preserve"> HYPERLINK "http://jcc.sasu.edu.cn/show_news.php?ID=1754" \t "_blank"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color w:val="1F3A87"/>
          <w:kern w:val="0"/>
          <w:sz w:val="27"/>
          <w:u w:val="single"/>
        </w:rPr>
        <w:t>网上缴费常见问题及处理方法</w:t>
      </w:r>
      <w:r>
        <w:rPr>
          <w:rFonts w:hint="eastAsia" w:ascii="宋体" w:hAnsi="宋体" w:eastAsia="宋体" w:cs="宋体"/>
          <w:b/>
          <w:bCs/>
          <w:color w:val="1F3A87"/>
          <w:kern w:val="0"/>
          <w:sz w:val="27"/>
          <w:u w:val="single"/>
        </w:rPr>
        <w:fldChar w:fldCharType="end"/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三、学分制专业收费标准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根据省发改委、省财政厅、省教育厅核定标准，我校</w:t>
      </w:r>
      <w:r>
        <w:rPr>
          <w:rFonts w:ascii="宋体" w:hAnsi="宋体" w:eastAsia="宋体" w:cs="宋体"/>
          <w:color w:val="333333"/>
          <w:kern w:val="0"/>
          <w:sz w:val="27"/>
          <w:szCs w:val="27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级专升本学生学分制专业收费标准见下表（单位：元）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hint="eastAsia" w:ascii="宋体" w:hAnsi="宋体" w:eastAsia="宋体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8"/>
        <w:tblW w:w="8085" w:type="dxa"/>
        <w:jc w:val="center"/>
        <w:tblBorders>
          <w:top w:val="outset" w:color="auto" w:sz="36" w:space="0"/>
          <w:left w:val="outset" w:color="auto" w:sz="36" w:space="0"/>
          <w:bottom w:val="outset" w:color="auto" w:sz="36" w:space="0"/>
          <w:right w:val="outset" w:color="auto" w:sz="3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365"/>
        <w:gridCol w:w="1185"/>
        <w:gridCol w:w="1185"/>
        <w:gridCol w:w="1125"/>
      </w:tblGrid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专业名称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学费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住宿费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教材费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合计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财务管理（本）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物流管理（本）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小学教育（本）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学前教育（本）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健康服务与管理（本）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环境设计（本）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6000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7400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美术学（本）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9000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10400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视觉传达设计（本）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6000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7400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酒店管理（本）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城乡规划（本）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5500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6900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机械工程（本）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4100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5300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计算机科学与技术（本）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4100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5300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物联网工程（本）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4100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5300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电子科学技术（本）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4100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5300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机械电子工程（本）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4100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5300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音乐学（本）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9000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10400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舞蹈学（本）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0000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1400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化学工程与工艺（本）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4100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5300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应用化学（本）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4100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1000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5300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工程造价（本）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汉语言文学（本）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行政管理（本）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  <w:tr>
        <w:tblPrEx>
          <w:tblBorders>
            <w:top w:val="outset" w:color="auto" w:sz="36" w:space="0"/>
            <w:left w:val="outset" w:color="auto" w:sz="36" w:space="0"/>
            <w:bottom w:val="outset" w:color="auto" w:sz="36" w:space="0"/>
            <w:right w:val="outset" w:color="auto" w:sz="3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</w:rPr>
              <w:t>知识产权（本）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3700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</w:rPr>
              <w:t>5100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Calibri" w:hAnsi="Calibri" w:eastAsia="宋体" w:cs="宋体"/>
          <w:color w:val="333333"/>
          <w:kern w:val="0"/>
          <w:sz w:val="27"/>
          <w:szCs w:val="27"/>
        </w:rPr>
        <w:t>备注：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根据《四川省财政电子票据管理改革实施方案》（川财非【</w:t>
      </w:r>
      <w:r>
        <w:rPr>
          <w:rFonts w:ascii="Calibri" w:hAnsi="Calibri" w:eastAsia="宋体" w:cs="宋体"/>
          <w:color w:val="333333"/>
          <w:kern w:val="0"/>
          <w:sz w:val="27"/>
          <w:szCs w:val="27"/>
        </w:rPr>
        <w:t>2018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】</w:t>
      </w:r>
      <w:r>
        <w:rPr>
          <w:rFonts w:ascii="Calibri" w:hAnsi="Calibri" w:eastAsia="宋体" w:cs="宋体"/>
          <w:color w:val="333333"/>
          <w:kern w:val="0"/>
          <w:sz w:val="27"/>
          <w:szCs w:val="27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号）规定，我校将于开学后正式施行电子票据，届时将通知如何自行查阅下载和打印电子票据。</w:t>
      </w:r>
    </w:p>
    <w:p>
      <w:pPr>
        <w:widowControl/>
        <w:shd w:val="clear" w:color="auto" w:fill="FFFFFF"/>
        <w:spacing w:before="100" w:beforeAutospacing="1" w:after="100" w:afterAutospacing="1" w:line="536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 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09262"/>
    <w:multiLevelType w:val="singleLevel"/>
    <w:tmpl w:val="B85092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9F67D1"/>
    <w:multiLevelType w:val="singleLevel"/>
    <w:tmpl w:val="FB9F67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7CA788"/>
    <w:multiLevelType w:val="singleLevel"/>
    <w:tmpl w:val="307CA7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147E7AA"/>
    <w:multiLevelType w:val="singleLevel"/>
    <w:tmpl w:val="5147E7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NTU2NTkxNzg4YTg2NjBmMWUyNjQ0YjM3NGFjNmYifQ=="/>
  </w:docVars>
  <w:rsids>
    <w:rsidRoot w:val="00305FAE"/>
    <w:rsid w:val="00305FAE"/>
    <w:rsid w:val="005768FD"/>
    <w:rsid w:val="00B47CB9"/>
    <w:rsid w:val="00C66334"/>
    <w:rsid w:val="00D24E9F"/>
    <w:rsid w:val="00E632F6"/>
    <w:rsid w:val="00F20655"/>
    <w:rsid w:val="0A0B501C"/>
    <w:rsid w:val="0AAC1141"/>
    <w:rsid w:val="11B818D7"/>
    <w:rsid w:val="11DD5EB4"/>
    <w:rsid w:val="20A67352"/>
    <w:rsid w:val="253A2632"/>
    <w:rsid w:val="267C4F74"/>
    <w:rsid w:val="2B7F66D6"/>
    <w:rsid w:val="3185451E"/>
    <w:rsid w:val="36F52958"/>
    <w:rsid w:val="3BC4203A"/>
    <w:rsid w:val="443534F2"/>
    <w:rsid w:val="4B19449D"/>
    <w:rsid w:val="52E7115A"/>
    <w:rsid w:val="66557793"/>
    <w:rsid w:val="70EF6E64"/>
    <w:rsid w:val="747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1414</Words>
  <Characters>1760</Characters>
  <Lines>12</Lines>
  <Paragraphs>3</Paragraphs>
  <TotalTime>7</TotalTime>
  <ScaleCrop>false</ScaleCrop>
  <LinksUpToDate>false</LinksUpToDate>
  <CharactersWithSpaces>1784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2020-07-01T02:20:00Z</dcterms:created>
  <dc:creator>admin</dc:creator>
  <cp:lastModifiedBy>曼曼</cp:lastModifiedBy>
  <dcterms:modified xsi:type="dcterms:W3CDTF">2022-07-05T08:27:08Z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17D1CDCCEB0C46B293A77B5910890E93</vt:lpwstr>
  </property>
</Properties>
</file>