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仿宋_GB2312" w:hAnsi="黑体"/>
          <w:b/>
          <w:sz w:val="36"/>
          <w:szCs w:val="36"/>
          <w:highlight w:val="none"/>
        </w:rPr>
      </w:pPr>
      <w:bookmarkStart w:id="0" w:name="_GoBack"/>
      <w:bookmarkEnd w:id="0"/>
      <w:r>
        <w:rPr>
          <w:rFonts w:hint="eastAsia" w:ascii="仿宋_GB2312" w:hAnsi="黑体"/>
          <w:b/>
          <w:sz w:val="36"/>
          <w:szCs w:val="36"/>
          <w:highlight w:val="none"/>
        </w:rPr>
        <w:t>附件1</w:t>
      </w:r>
    </w:p>
    <w:p>
      <w:pPr>
        <w:spacing w:line="560" w:lineRule="exact"/>
        <w:jc w:val="center"/>
        <w:rPr>
          <w:rFonts w:ascii="仿宋_GB2312" w:hAnsi="黑体"/>
          <w:b/>
          <w:sz w:val="36"/>
          <w:szCs w:val="36"/>
          <w:highlight w:val="none"/>
        </w:rPr>
      </w:pPr>
      <w:r>
        <w:rPr>
          <w:rFonts w:hint="eastAsia" w:ascii="仿宋_GB2312" w:hAnsi="黑体"/>
          <w:b/>
          <w:sz w:val="36"/>
          <w:szCs w:val="36"/>
          <w:highlight w:val="none"/>
        </w:rPr>
        <w:t>2022年武汉东湖学院普通专升本补录招生专业对高职（专科）专业的报考范围要求</w:t>
      </w:r>
    </w:p>
    <w:tbl>
      <w:tblPr>
        <w:tblStyle w:val="6"/>
        <w:tblW w:w="9195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4440"/>
        <w:gridCol w:w="41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highlight w:val="none"/>
              </w:rPr>
              <w:t>序号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仿宋_GB2312" w:hAnsi="宋体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</w:rPr>
              <w:t>本科招生专业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仿宋_GB2312" w:hAnsi="宋体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</w:rPr>
              <w:t>对应高职（专科）专业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highlight w:val="none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仿宋_GB2312" w:hAnsi="宋体" w:cs="仿宋_GB2312"/>
                <w:color w:val="000000"/>
                <w:kern w:val="0"/>
                <w:sz w:val="28"/>
                <w:szCs w:val="28"/>
                <w:highlight w:val="none"/>
              </w:rPr>
              <w:t>金融学</w:t>
            </w:r>
          </w:p>
        </w:tc>
        <w:tc>
          <w:tcPr>
            <w:tcW w:w="4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仿宋_GB2312" w:hAnsi="宋体" w:cs="仿宋_GB2312"/>
                <w:color w:val="000000"/>
                <w:kern w:val="0"/>
                <w:sz w:val="28"/>
                <w:szCs w:val="28"/>
                <w:highlight w:val="none"/>
              </w:rPr>
              <w:t>经管类、文学类、理工类专业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highlight w:val="none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仿宋_GB2312" w:hAnsi="宋体" w:cs="仿宋_GB2312"/>
                <w:color w:val="000000"/>
                <w:kern w:val="0"/>
                <w:sz w:val="28"/>
                <w:szCs w:val="28"/>
                <w:highlight w:val="none"/>
              </w:rPr>
              <w:t>国际经济与贸易</w:t>
            </w:r>
          </w:p>
        </w:tc>
        <w:tc>
          <w:tcPr>
            <w:tcW w:w="4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highlight w:val="none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仿宋_GB2312" w:hAnsi="宋体" w:cs="仿宋_GB2312"/>
                <w:color w:val="000000"/>
                <w:kern w:val="0"/>
                <w:sz w:val="28"/>
                <w:szCs w:val="28"/>
                <w:highlight w:val="none"/>
              </w:rPr>
              <w:t>新闻学</w:t>
            </w:r>
          </w:p>
        </w:tc>
        <w:tc>
          <w:tcPr>
            <w:tcW w:w="4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highlight w:val="none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仿宋_GB2312" w:hAnsi="宋体" w:cs="仿宋_GB2312"/>
                <w:color w:val="000000"/>
                <w:kern w:val="0"/>
                <w:sz w:val="28"/>
                <w:szCs w:val="28"/>
                <w:highlight w:val="none"/>
              </w:rPr>
              <w:t>机械设计制造及其自动化</w:t>
            </w:r>
          </w:p>
        </w:tc>
        <w:tc>
          <w:tcPr>
            <w:tcW w:w="4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仿宋_GB2312" w:hAnsi="宋体" w:cs="仿宋_GB2312"/>
                <w:color w:val="000000"/>
                <w:kern w:val="0"/>
                <w:sz w:val="28"/>
                <w:szCs w:val="28"/>
                <w:highlight w:val="none"/>
              </w:rPr>
              <w:t>理工类相同或相近专业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highlight w:val="none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仿宋_GB2312" w:hAnsi="宋体" w:cs="仿宋_GB2312"/>
                <w:color w:val="000000"/>
                <w:kern w:val="0"/>
                <w:sz w:val="28"/>
                <w:szCs w:val="28"/>
                <w:highlight w:val="none"/>
              </w:rPr>
              <w:t>电气工程及其自动化</w:t>
            </w:r>
          </w:p>
        </w:tc>
        <w:tc>
          <w:tcPr>
            <w:tcW w:w="4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highlight w:val="none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仿宋_GB2312" w:hAnsi="宋体" w:cs="仿宋_GB2312"/>
                <w:color w:val="000000"/>
                <w:kern w:val="0"/>
                <w:sz w:val="28"/>
                <w:szCs w:val="28"/>
                <w:highlight w:val="none"/>
              </w:rPr>
              <w:t>电子信息工程</w:t>
            </w:r>
          </w:p>
        </w:tc>
        <w:tc>
          <w:tcPr>
            <w:tcW w:w="4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highlight w:val="none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仿宋_GB2312" w:hAnsi="宋体" w:cs="仿宋_GB2312"/>
                <w:color w:val="000000"/>
                <w:kern w:val="0"/>
                <w:sz w:val="28"/>
                <w:szCs w:val="28"/>
                <w:highlight w:val="none"/>
              </w:rPr>
              <w:t>通信工程</w:t>
            </w:r>
          </w:p>
        </w:tc>
        <w:tc>
          <w:tcPr>
            <w:tcW w:w="4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highlight w:val="none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仿宋_GB2312" w:hAnsi="宋体" w:cs="仿宋_GB2312"/>
                <w:color w:val="000000"/>
                <w:kern w:val="0"/>
                <w:sz w:val="28"/>
                <w:szCs w:val="28"/>
                <w:highlight w:val="none"/>
              </w:rPr>
              <w:t>电子与计算机工程</w:t>
            </w:r>
          </w:p>
        </w:tc>
        <w:tc>
          <w:tcPr>
            <w:tcW w:w="4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highlight w:val="none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仿宋_GB2312" w:hAnsi="宋体" w:cs="仿宋_GB2312"/>
                <w:color w:val="000000"/>
                <w:kern w:val="0"/>
                <w:sz w:val="28"/>
                <w:szCs w:val="28"/>
                <w:highlight w:val="none"/>
              </w:rPr>
              <w:t>计算机科学与技术</w:t>
            </w:r>
          </w:p>
        </w:tc>
        <w:tc>
          <w:tcPr>
            <w:tcW w:w="4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highlight w:val="none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仿宋_GB2312" w:hAnsi="宋体" w:cs="仿宋_GB2312"/>
                <w:color w:val="000000"/>
                <w:kern w:val="0"/>
                <w:sz w:val="28"/>
                <w:szCs w:val="28"/>
                <w:highlight w:val="none"/>
              </w:rPr>
              <w:t>软件工程</w:t>
            </w:r>
          </w:p>
        </w:tc>
        <w:tc>
          <w:tcPr>
            <w:tcW w:w="4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highlight w:val="none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仿宋_GB2312" w:hAnsi="宋体" w:cs="仿宋_GB2312"/>
                <w:color w:val="000000"/>
                <w:kern w:val="0"/>
                <w:sz w:val="28"/>
                <w:szCs w:val="28"/>
                <w:highlight w:val="none"/>
              </w:rPr>
              <w:t>生物制药</w:t>
            </w:r>
          </w:p>
        </w:tc>
        <w:tc>
          <w:tcPr>
            <w:tcW w:w="4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highlight w:val="none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仿宋_GB2312" w:hAnsi="宋体" w:cs="仿宋_GB2312"/>
                <w:color w:val="000000"/>
                <w:kern w:val="0"/>
                <w:sz w:val="28"/>
                <w:szCs w:val="28"/>
                <w:highlight w:val="none"/>
              </w:rPr>
              <w:t>财务管理</w:t>
            </w:r>
          </w:p>
        </w:tc>
        <w:tc>
          <w:tcPr>
            <w:tcW w:w="4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仿宋_GB2312" w:hAnsi="宋体" w:cs="仿宋_GB2312"/>
                <w:color w:val="000000"/>
                <w:kern w:val="0"/>
                <w:sz w:val="28"/>
                <w:szCs w:val="28"/>
                <w:highlight w:val="none"/>
              </w:rPr>
              <w:t>经管类、文学类、理工类专业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highlight w:val="none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仿宋_GB2312" w:hAnsi="宋体" w:cs="仿宋_GB2312"/>
                <w:color w:val="000000"/>
                <w:kern w:val="0"/>
                <w:sz w:val="28"/>
                <w:szCs w:val="28"/>
                <w:highlight w:val="none"/>
              </w:rPr>
              <w:t>电子商务</w:t>
            </w:r>
          </w:p>
        </w:tc>
        <w:tc>
          <w:tcPr>
            <w:tcW w:w="4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highlight w:val="none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仿宋_GB2312" w:hAnsi="宋体" w:cs="仿宋_GB2312"/>
                <w:color w:val="000000"/>
                <w:kern w:val="0"/>
                <w:sz w:val="28"/>
                <w:szCs w:val="28"/>
                <w:highlight w:val="none"/>
              </w:rPr>
              <w:t>旅游管理</w:t>
            </w:r>
          </w:p>
        </w:tc>
        <w:tc>
          <w:tcPr>
            <w:tcW w:w="4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highlight w:val="none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仿宋_GB2312" w:hAnsi="宋体" w:cs="仿宋_GB2312"/>
                <w:color w:val="000000"/>
                <w:kern w:val="0"/>
                <w:sz w:val="28"/>
                <w:szCs w:val="28"/>
                <w:highlight w:val="none"/>
              </w:rPr>
              <w:t>环境设计</w:t>
            </w:r>
          </w:p>
        </w:tc>
        <w:tc>
          <w:tcPr>
            <w:tcW w:w="4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仿宋_GB2312" w:hAnsi="宋体" w:cs="仿宋_GB2312"/>
                <w:color w:val="000000"/>
                <w:kern w:val="0"/>
                <w:sz w:val="28"/>
                <w:szCs w:val="28"/>
                <w:highlight w:val="none"/>
              </w:rPr>
              <w:t>艺术设计类专业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highlight w:val="none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仿宋_GB2312" w:hAnsi="宋体" w:cs="仿宋_GB2312"/>
                <w:color w:val="000000"/>
                <w:kern w:val="0"/>
                <w:sz w:val="28"/>
                <w:szCs w:val="28"/>
                <w:highlight w:val="none"/>
              </w:rPr>
              <w:t>数字媒体艺术</w:t>
            </w:r>
          </w:p>
        </w:tc>
        <w:tc>
          <w:tcPr>
            <w:tcW w:w="4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cs="仿宋_GB2312"/>
                <w:color w:val="000000"/>
                <w:sz w:val="28"/>
                <w:szCs w:val="28"/>
                <w:highlight w:val="none"/>
              </w:rPr>
            </w:pPr>
          </w:p>
        </w:tc>
      </w:tr>
    </w:tbl>
    <w:p>
      <w:pPr>
        <w:widowControl/>
        <w:spacing w:line="560" w:lineRule="exact"/>
        <w:ind w:left="660" w:leftChars="209"/>
        <w:jc w:val="right"/>
        <w:rPr>
          <w:rFonts w:ascii="仿宋_GB2312" w:hAnsi="仿宋_GB2312" w:cs="仿宋_GB2312"/>
          <w:bCs/>
          <w:sz w:val="30"/>
          <w:szCs w:val="30"/>
        </w:rPr>
      </w:pPr>
      <w:r>
        <w:rPr>
          <w:rFonts w:ascii="黑体" w:hAnsi="黑体" w:eastAsia="黑体" w:cs="黑体"/>
          <w:sz w:val="28"/>
          <w:szCs w:val="28"/>
          <w:highlight w:val="none"/>
        </w:rPr>
        <w:br w:type="page"/>
      </w:r>
    </w:p>
    <w:sectPr>
      <w:headerReference r:id="rId3" w:type="default"/>
      <w:footerReference r:id="rId4" w:type="default"/>
      <w:pgSz w:w="11906" w:h="16838"/>
      <w:pgMar w:top="1798" w:right="1474" w:bottom="1984" w:left="1587" w:header="851" w:footer="1400" w:gutter="0"/>
      <w:cols w:space="720" w:num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58"/>
  <w:drawingGridVerticalSpacing w:val="57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YxN2YyNjA1MTBkYjg1YTUwNjFkMzVjZGMwMDFkMDMifQ=="/>
  </w:docVars>
  <w:rsids>
    <w:rsidRoot w:val="09F40B27"/>
    <w:rsid w:val="00037B9F"/>
    <w:rsid w:val="00045E8A"/>
    <w:rsid w:val="00164AF1"/>
    <w:rsid w:val="002D5F3B"/>
    <w:rsid w:val="00375558"/>
    <w:rsid w:val="00377985"/>
    <w:rsid w:val="00387600"/>
    <w:rsid w:val="00422C85"/>
    <w:rsid w:val="006B2EC6"/>
    <w:rsid w:val="0070337A"/>
    <w:rsid w:val="0075161B"/>
    <w:rsid w:val="007B3DEC"/>
    <w:rsid w:val="00810601"/>
    <w:rsid w:val="00851423"/>
    <w:rsid w:val="00900269"/>
    <w:rsid w:val="009A2DC9"/>
    <w:rsid w:val="00A34027"/>
    <w:rsid w:val="00B65906"/>
    <w:rsid w:val="00C06671"/>
    <w:rsid w:val="00C61724"/>
    <w:rsid w:val="00C877FD"/>
    <w:rsid w:val="00CC1115"/>
    <w:rsid w:val="00D96535"/>
    <w:rsid w:val="00DB0626"/>
    <w:rsid w:val="00E0740C"/>
    <w:rsid w:val="00E73613"/>
    <w:rsid w:val="00E824AD"/>
    <w:rsid w:val="00EE6D3C"/>
    <w:rsid w:val="00F44CDD"/>
    <w:rsid w:val="03667C72"/>
    <w:rsid w:val="09F40B27"/>
    <w:rsid w:val="0A981059"/>
    <w:rsid w:val="0AB05BF3"/>
    <w:rsid w:val="0DE80E46"/>
    <w:rsid w:val="13390FED"/>
    <w:rsid w:val="13FF0DA5"/>
    <w:rsid w:val="14CF720D"/>
    <w:rsid w:val="162913C3"/>
    <w:rsid w:val="2FEC5DFF"/>
    <w:rsid w:val="31622B9B"/>
    <w:rsid w:val="35A16421"/>
    <w:rsid w:val="38EF0858"/>
    <w:rsid w:val="3C8804B8"/>
    <w:rsid w:val="3E0166B6"/>
    <w:rsid w:val="41636EDA"/>
    <w:rsid w:val="46AA34C6"/>
    <w:rsid w:val="48443CDD"/>
    <w:rsid w:val="49382AE4"/>
    <w:rsid w:val="4D5A50BE"/>
    <w:rsid w:val="50704D16"/>
    <w:rsid w:val="52094756"/>
    <w:rsid w:val="52DD0A5E"/>
    <w:rsid w:val="53034396"/>
    <w:rsid w:val="54756477"/>
    <w:rsid w:val="566C02E3"/>
    <w:rsid w:val="603C3C36"/>
    <w:rsid w:val="640E210D"/>
    <w:rsid w:val="68162E8B"/>
    <w:rsid w:val="6BB66184"/>
    <w:rsid w:val="6E6E02F7"/>
    <w:rsid w:val="71273B5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6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FollowedHyperlink"/>
    <w:basedOn w:val="7"/>
    <w:qFormat/>
    <w:uiPriority w:val="0"/>
    <w:rPr>
      <w:color w:val="333333"/>
      <w:u w:val="none"/>
    </w:rPr>
  </w:style>
  <w:style w:type="character" w:styleId="10">
    <w:name w:val="Hyperlink"/>
    <w:basedOn w:val="7"/>
    <w:qFormat/>
    <w:uiPriority w:val="0"/>
    <w:rPr>
      <w:color w:val="333333"/>
      <w:u w:val="none"/>
    </w:rPr>
  </w:style>
  <w:style w:type="paragraph" w:styleId="11">
    <w:name w:val="List Paragraph"/>
    <w:basedOn w:val="1"/>
    <w:qFormat/>
    <w:uiPriority w:val="99"/>
    <w:pPr>
      <w:ind w:firstLine="420" w:firstLineChars="200"/>
    </w:pPr>
    <w:rPr>
      <w:rFonts w:ascii="等线" w:hAnsi="等线" w:eastAsia="等线" w:cs="等线"/>
      <w:szCs w:val="21"/>
    </w:rPr>
  </w:style>
  <w:style w:type="character" w:customStyle="1" w:styleId="12">
    <w:name w:val="icon_list"/>
    <w:basedOn w:val="7"/>
    <w:qFormat/>
    <w:uiPriority w:val="0"/>
  </w:style>
  <w:style w:type="character" w:customStyle="1" w:styleId="13">
    <w:name w:val="icon_list1"/>
    <w:basedOn w:val="7"/>
    <w:qFormat/>
    <w:uiPriority w:val="0"/>
  </w:style>
  <w:style w:type="character" w:customStyle="1" w:styleId="14">
    <w:name w:val="txt"/>
    <w:basedOn w:val="7"/>
    <w:qFormat/>
    <w:uiPriority w:val="0"/>
    <w:rPr>
      <w:shd w:val="clear" w:color="auto" w:fill="FFFFFF"/>
    </w:rPr>
  </w:style>
  <w:style w:type="character" w:customStyle="1" w:styleId="15">
    <w:name w:val="line"/>
    <w:basedOn w:val="7"/>
    <w:qFormat/>
    <w:uiPriority w:val="0"/>
    <w:rPr>
      <w:shd w:val="clear" w:color="auto" w:fill="E6E6E6"/>
    </w:rPr>
  </w:style>
  <w:style w:type="character" w:customStyle="1" w:styleId="16">
    <w:name w:val="批注框文本 Char"/>
    <w:basedOn w:val="7"/>
    <w:link w:val="2"/>
    <w:qFormat/>
    <w:uiPriority w:val="0"/>
    <w:rPr>
      <w:rFonts w:ascii="Calibri" w:hAnsi="Calibri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204</Words>
  <Characters>214</Characters>
  <Lines>20</Lines>
  <Paragraphs>5</Paragraphs>
  <TotalTime>20</TotalTime>
  <ScaleCrop>false</ScaleCrop>
  <LinksUpToDate>false</LinksUpToDate>
  <CharactersWithSpaces>214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2022-08-03T03:29:00Z</dcterms:created>
  <dc:creator>会飞的蜗牛</dc:creator>
  <cp:lastModifiedBy>Administrator</cp:lastModifiedBy>
  <cp:lastPrinted>2022-08-04T02:30:00Z</cp:lastPrinted>
  <dcterms:modified xsi:type="dcterms:W3CDTF">2022-08-08T06:07:48Z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9DE33247826D4498A3548B7DD6E4365F</vt:lpwstr>
  </property>
</Properties>
</file>