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28"/>
          <w:szCs w:val="28"/>
          <w:shd w:val="clear" w:color="auto" w:fill="FFFFFF"/>
        </w:rPr>
      </w:pPr>
      <w:bookmarkStart w:id="1" w:name="_GoBack"/>
      <w:bookmarkEnd w:id="1"/>
      <w:bookmarkStart w:id="0" w:name="OLE_LINK1"/>
      <w:r>
        <w:rPr>
          <w:rFonts w:eastAsia="黑体"/>
          <w:sz w:val="28"/>
          <w:szCs w:val="28"/>
          <w:shd w:val="clear" w:color="auto" w:fill="FFFFFF"/>
        </w:rPr>
        <w:t>附件</w:t>
      </w:r>
      <w:r>
        <w:rPr>
          <w:rFonts w:hint="eastAsia" w:eastAsia="黑体"/>
          <w:sz w:val="28"/>
          <w:szCs w:val="28"/>
          <w:shd w:val="clear" w:color="auto" w:fill="FFFFFF"/>
        </w:rPr>
        <w:t>1</w:t>
      </w:r>
    </w:p>
    <w:p>
      <w:pPr>
        <w:pStyle w:val="10"/>
        <w:widowControl/>
        <w:spacing w:beforeAutospacing="0" w:afterAutospacing="0"/>
        <w:jc w:val="center"/>
        <w:rPr>
          <w:rFonts w:eastAsia="方正小标宋简体"/>
          <w:sz w:val="44"/>
          <w:szCs w:val="44"/>
          <w:shd w:val="clear" w:color="auto" w:fill="FFFFFF"/>
        </w:rPr>
      </w:pPr>
      <w:r>
        <w:rPr>
          <w:rFonts w:ascii="Times New Roman" w:hAnsi="Times New Roman" w:eastAsia="方正小标宋简体"/>
          <w:sz w:val="44"/>
          <w:szCs w:val="44"/>
          <w:shd w:val="clear" w:color="auto" w:fill="FFFFFF"/>
        </w:rPr>
        <w:t>广东省高等教育自学考试电子相片采集标准</w:t>
      </w:r>
    </w:p>
    <w:p>
      <w:pPr>
        <w:ind w:firstLine="640"/>
        <w:rPr>
          <w:rFonts w:eastAsia="仿宋_GB2312"/>
          <w:color w:val="000000"/>
          <w:sz w:val="32"/>
          <w:szCs w:val="32"/>
        </w:rPr>
      </w:pPr>
      <w:r>
        <w:rPr>
          <w:rFonts w:eastAsia="仿宋_GB2312"/>
          <w:color w:val="000000"/>
          <w:sz w:val="32"/>
          <w:szCs w:val="32"/>
        </w:rPr>
        <w:t>1.本人近期正面、免冠、彩色（淡蓝色底）证件电子照片，照片必须清晰完整，与本人相貌一致。禁止对图像整体或局部进行镜像、旋转等变换操作。不得对人像特征（如伤疤、发型等）进行技术处理。</w:t>
      </w:r>
    </w:p>
    <w:p>
      <w:pPr>
        <w:ind w:firstLine="640"/>
        <w:rPr>
          <w:rFonts w:eastAsia="仿宋_GB2312"/>
          <w:color w:val="000000"/>
          <w:sz w:val="32"/>
          <w:szCs w:val="32"/>
        </w:rPr>
      </w:pPr>
      <w:r>
        <w:rPr>
          <w:rFonts w:eastAsia="仿宋_GB2312"/>
          <w:color w:val="000000"/>
          <w:sz w:val="32"/>
          <w:szCs w:val="32"/>
        </w:rPr>
        <w:t>2.成像区上下要求头上部空1／10，头部占7／10，肩部占1／5。采集的图像大小最小为192×168（高×宽），单位为：像素。成像区大小为48ｍｍ×42ｍｍ（高×宽）。</w:t>
      </w:r>
    </w:p>
    <w:p>
      <w:pPr>
        <w:ind w:firstLine="640"/>
        <w:rPr>
          <w:rFonts w:eastAsia="仿宋_GB2312"/>
          <w:color w:val="000000"/>
          <w:sz w:val="32"/>
          <w:szCs w:val="32"/>
        </w:rPr>
      </w:pPr>
      <w:r>
        <w:rPr>
          <w:rFonts w:eastAsia="仿宋_GB2312"/>
          <w:color w:val="000000"/>
          <w:sz w:val="32"/>
          <w:szCs w:val="32"/>
        </w:rPr>
        <w:t>3.电子照片须显示双肩、双耳，露双眉，衣着端正，不着与背景同色的上衣，人像清晰，神态自然，无明显畸变，脸部无局部亮度，背景无边框。不得上传翻拍照、全身照、风景照、生活照、大头贴、背带（吊带）衫照、艺术照、侧面照、不规则手机照等。人像在图像矩形框内水平居中，左右对称。</w:t>
      </w:r>
    </w:p>
    <w:p>
      <w:pPr>
        <w:ind w:firstLine="640"/>
        <w:rPr>
          <w:rFonts w:eastAsia="仿宋_GB2312"/>
          <w:color w:val="000000"/>
          <w:sz w:val="32"/>
          <w:szCs w:val="32"/>
        </w:rPr>
      </w:pPr>
      <w:r>
        <w:rPr>
          <w:rFonts w:eastAsia="仿宋_GB2312"/>
          <w:color w:val="000000"/>
          <w:sz w:val="32"/>
          <w:szCs w:val="32"/>
        </w:rPr>
        <w:t>4.电子照片不得佩戴饰品，不得佩戴粗框、有色眼镜，眼镜不能有反光（饰品、眼镜遮挡面部特征会影响考试期间身份核验），不得使用头部覆盖物（宗教、医疗和文化需要时，不得遮挡脸部或造成阴影）。头发不得遮挡眉毛、眼睛和耳朵。不宜化妆。</w:t>
      </w:r>
    </w:p>
    <w:p>
      <w:pPr>
        <w:ind w:firstLine="640"/>
        <w:rPr>
          <w:rFonts w:eastAsia="仿宋_GB2312"/>
          <w:color w:val="000000"/>
          <w:sz w:val="32"/>
          <w:szCs w:val="32"/>
        </w:rPr>
      </w:pPr>
      <w:r>
        <w:rPr>
          <w:rFonts w:eastAsia="仿宋_GB2312"/>
          <w:color w:val="000000"/>
          <w:sz w:val="32"/>
          <w:szCs w:val="32"/>
        </w:rPr>
        <w:t>5.</w:t>
      </w:r>
      <w:r>
        <w:rPr>
          <w:rFonts w:eastAsia="仿宋_GB2312"/>
          <w:bCs/>
          <w:color w:val="000000"/>
          <w:sz w:val="32"/>
          <w:szCs w:val="32"/>
        </w:rPr>
        <w:t>此照片将作为本人准考证唯一使用照片，将用于考试期间的人像识别比对及毕业申请的照片审核，</w:t>
      </w:r>
      <w:r>
        <w:rPr>
          <w:rFonts w:eastAsia="仿宋_GB2312"/>
          <w:color w:val="000000"/>
          <w:sz w:val="32"/>
          <w:szCs w:val="32"/>
        </w:rPr>
        <w:t>不符合要求的照片会影响考生的考试及毕业等，由此造成的后果由考生自行承担。</w:t>
      </w:r>
    </w:p>
    <w:p>
      <w:pPr>
        <w:spacing w:line="400" w:lineRule="exact"/>
        <w:rPr>
          <w:rFonts w:ascii="楷体" w:hAnsi="楷体" w:eastAsia="楷体"/>
          <w:sz w:val="30"/>
          <w:szCs w:val="30"/>
        </w:rPr>
      </w:pPr>
    </w:p>
    <w:p>
      <w:pPr>
        <w:jc w:val="left"/>
        <w:rPr>
          <w:rFonts w:ascii="黑体" w:hAnsi="黑体" w:eastAsia="黑体" w:cs="仿宋_GB2312"/>
          <w:sz w:val="32"/>
          <w:szCs w:val="32"/>
          <w:shd w:val="clear" w:color="auto" w:fill="FFFFFF"/>
        </w:rPr>
      </w:pPr>
      <w:r>
        <w:rPr>
          <w:rFonts w:hint="eastAsia" w:ascii="黑体" w:hAnsi="黑体" w:eastAsia="黑体" w:cs="仿宋_GB2312"/>
          <w:sz w:val="28"/>
          <w:szCs w:val="28"/>
          <w:shd w:val="clear" w:color="auto" w:fill="FFFFFF"/>
        </w:rPr>
        <w:t>附件2</w:t>
      </w:r>
    </w:p>
    <w:p>
      <w:pPr>
        <w:pStyle w:val="10"/>
        <w:widowControl/>
        <w:spacing w:beforeAutospacing="0" w:afterAutospacing="0" w:line="480" w:lineRule="exact"/>
        <w:jc w:val="center"/>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广东省2023年1月高等教育自学考试</w:t>
      </w:r>
    </w:p>
    <w:p>
      <w:pPr>
        <w:pStyle w:val="10"/>
        <w:widowControl/>
        <w:spacing w:beforeAutospacing="0" w:afterAutospacing="0" w:line="480" w:lineRule="exact"/>
        <w:jc w:val="center"/>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新生报名流程图</w:t>
      </w:r>
    </w:p>
    <w:p>
      <w:pPr>
        <w:pStyle w:val="10"/>
        <w:widowControl/>
        <w:spacing w:beforeAutospacing="0" w:afterAutospacing="0"/>
        <w:ind w:left="5250"/>
        <w:rPr>
          <w:rFonts w:ascii="仿宋_GB2312" w:hAnsi="仿宋_GB2312" w:eastAsia="仿宋_GB2312" w:cs="仿宋_GB2312"/>
          <w:bCs/>
          <w:color w:val="000000"/>
          <w:sz w:val="32"/>
          <w:szCs w:val="32"/>
          <w:shd w:val="clear" w:color="auto" w:fill="FFFFFF"/>
        </w:rPr>
      </w:pPr>
    </w:p>
    <w:p>
      <w:pPr>
        <w:pStyle w:val="10"/>
        <w:widowControl/>
        <w:spacing w:beforeAutospacing="0" w:afterAutospacing="0"/>
        <w:jc w:val="center"/>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drawing>
          <wp:inline distT="0" distB="0" distL="0" distR="0">
            <wp:extent cx="5438775" cy="6809740"/>
            <wp:effectExtent l="19050" t="19050" r="0" b="0"/>
            <wp:docPr id="111" name="图片 1"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 descr="图片11"/>
                    <pic:cNvPicPr>
                      <a:picLocks noChangeAspect="1" noChangeArrowheads="1"/>
                    </pic:cNvPicPr>
                  </pic:nvPicPr>
                  <pic:blipFill>
                    <a:blip r:embed="rId7"/>
                    <a:srcRect t="3069"/>
                    <a:stretch>
                      <a:fillRect/>
                    </a:stretch>
                  </pic:blipFill>
                  <pic:spPr>
                    <a:xfrm>
                      <a:off x="0" y="0"/>
                      <a:ext cx="5429559" cy="6798310"/>
                    </a:xfrm>
                    <a:prstGeom prst="rect">
                      <a:avLst/>
                    </a:prstGeom>
                    <a:noFill/>
                    <a:ln w="9525" cmpd="sng">
                      <a:solidFill>
                        <a:schemeClr val="tx1"/>
                      </a:solidFill>
                      <a:miter lim="800000"/>
                      <a:headEnd/>
                      <a:tailEnd/>
                    </a:ln>
                  </pic:spPr>
                </pic:pic>
              </a:graphicData>
            </a:graphic>
          </wp:inline>
        </w:drawing>
      </w:r>
    </w:p>
    <w:bookmarkEnd w:id="0"/>
    <w:p>
      <w:pPr>
        <w:rPr>
          <w:rFonts w:ascii="黑体" w:hAnsi="黑体" w:eastAsia="黑体" w:cs="仿宋_GB2312"/>
          <w:kern w:val="0"/>
          <w:sz w:val="28"/>
          <w:szCs w:val="28"/>
          <w:shd w:val="clear" w:color="auto" w:fill="FFFFFF"/>
        </w:rPr>
      </w:pPr>
    </w:p>
    <w:p>
      <w:pPr>
        <w:rPr>
          <w:rFonts w:ascii="黑体" w:hAnsi="黑体" w:eastAsia="黑体" w:cs="仿宋_GB2312"/>
          <w:kern w:val="0"/>
          <w:sz w:val="28"/>
          <w:szCs w:val="28"/>
          <w:shd w:val="clear" w:color="auto" w:fill="FFFFFF"/>
        </w:rPr>
      </w:pPr>
      <w:r>
        <w:rPr>
          <w:rFonts w:hint="eastAsia" w:ascii="黑体" w:hAnsi="黑体" w:eastAsia="黑体" w:cs="仿宋_GB2312"/>
          <w:kern w:val="0"/>
          <w:sz w:val="28"/>
          <w:szCs w:val="28"/>
          <w:shd w:val="clear" w:color="auto" w:fill="FFFFFF"/>
        </w:rPr>
        <w:t>附件3</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广东省2023年1月高等教育自学考试</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在线报名操作指引</w:t>
      </w:r>
    </w:p>
    <w:p>
      <w:pPr>
        <w:ind w:firstLine="422"/>
        <w:rPr>
          <w:b/>
          <w:bCs/>
        </w:rPr>
      </w:pPr>
    </w:p>
    <w:p>
      <w:pPr>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第一步：预报名-网页端</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登录网址https://www.eeagd.edu.cn/zkselfec/login/login.jsp在网页端完成预报名信息录入，获取预报名号，并牢记预报名时设置的密码。</w:t>
      </w:r>
    </w:p>
    <w:p>
      <w:pPr>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第二步：采集相片-小程序端</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（1）在广东省教育考试院官方小程序上选择报名相片采集，选择考生端进入。</w:t>
      </w:r>
    </w:p>
    <w:p>
      <w:pPr>
        <w:ind w:firstLine="420"/>
      </w:pPr>
      <w:r>
        <w:drawing>
          <wp:inline distT="0" distB="0" distL="0" distR="0">
            <wp:extent cx="1967230" cy="4008755"/>
            <wp:effectExtent l="19050" t="0" r="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noChangeArrowheads="1"/>
                    </pic:cNvPicPr>
                  </pic:nvPicPr>
                  <pic:blipFill>
                    <a:blip r:embed="rId8"/>
                    <a:srcRect/>
                    <a:stretch>
                      <a:fillRect/>
                    </a:stretch>
                  </pic:blipFill>
                  <pic:spPr>
                    <a:xfrm>
                      <a:off x="0" y="0"/>
                      <a:ext cx="1967230" cy="4008755"/>
                    </a:xfrm>
                    <a:prstGeom prst="rect">
                      <a:avLst/>
                    </a:prstGeom>
                    <a:noFill/>
                    <a:ln w="9525" cmpd="sng">
                      <a:noFill/>
                      <a:miter lim="800000"/>
                      <a:headEnd/>
                      <a:tailEnd/>
                    </a:ln>
                  </pic:spPr>
                </pic:pic>
              </a:graphicData>
            </a:graphic>
          </wp:inline>
        </w:drawing>
      </w:r>
    </w:p>
    <w:p>
      <w:pPr>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（2）在考试列表中找到自考报名相片采集，输入预报名号与预报名时设置的密码登录。</w:t>
      </w:r>
    </w:p>
    <w:p>
      <w:pPr>
        <w:jc w:val="center"/>
      </w:pPr>
      <w:r>
        <w:drawing>
          <wp:inline distT="0" distB="0" distL="0" distR="0">
            <wp:extent cx="2402840" cy="3019425"/>
            <wp:effectExtent l="19050" t="0" r="0" b="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9"/>
                    <a:srcRect b="38548"/>
                    <a:stretch>
                      <a:fillRect/>
                    </a:stretch>
                  </pic:blipFill>
                  <pic:spPr>
                    <a:xfrm>
                      <a:off x="0" y="0"/>
                      <a:ext cx="2402840" cy="3019425"/>
                    </a:xfrm>
                    <a:prstGeom prst="rect">
                      <a:avLst/>
                    </a:prstGeom>
                    <a:noFill/>
                    <a:ln w="9525" cmpd="sng">
                      <a:noFill/>
                      <a:miter lim="800000"/>
                      <a:headEnd/>
                      <a:tailEnd/>
                    </a:ln>
                  </pic:spPr>
                </pic:pic>
              </a:graphicData>
            </a:graphic>
          </wp:inline>
        </w:drawing>
      </w:r>
      <w:r>
        <w:rPr>
          <w:rFonts w:hint="eastAsia"/>
        </w:rPr>
        <w:t xml:space="preserve">   </w:t>
      </w:r>
    </w:p>
    <w:p>
      <w:pPr>
        <w:ind w:firstLine="420"/>
        <w:jc w:val="center"/>
      </w:pPr>
    </w:p>
    <w:p>
      <w:pPr>
        <w:jc w:val="center"/>
      </w:pPr>
      <w:r>
        <w:drawing>
          <wp:inline distT="0" distB="0" distL="0" distR="0">
            <wp:extent cx="2604770" cy="3147060"/>
            <wp:effectExtent l="19050" t="0" r="5080" b="0"/>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noChangeArrowheads="1"/>
                    </pic:cNvPicPr>
                  </pic:nvPicPr>
                  <pic:blipFill>
                    <a:blip r:embed="rId10"/>
                    <a:srcRect/>
                    <a:stretch>
                      <a:fillRect/>
                    </a:stretch>
                  </pic:blipFill>
                  <pic:spPr>
                    <a:xfrm>
                      <a:off x="0" y="0"/>
                      <a:ext cx="2604770" cy="3147060"/>
                    </a:xfrm>
                    <a:prstGeom prst="rect">
                      <a:avLst/>
                    </a:prstGeom>
                    <a:noFill/>
                    <a:ln w="9525" cmpd="sng">
                      <a:noFill/>
                      <a:miter lim="800000"/>
                      <a:headEnd/>
                      <a:tailEnd/>
                    </a:ln>
                    <a:effectLst/>
                  </pic:spPr>
                </pic:pic>
              </a:graphicData>
            </a:graphic>
          </wp:inline>
        </w:drawing>
      </w:r>
    </w:p>
    <w:p>
      <w:pPr>
        <w:ind w:firstLine="420"/>
      </w:pPr>
    </w:p>
    <w:p>
      <w:pPr>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（3）按指引拍摄清晰的正面人像照片</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拍摄的相片会进行人脸识别身份核验、活体检测（真人检测）与相片质量检测，请拍摄本人清晰的面部相片，避免面部任何遮挡，不要翻拍证件照，尽量保持背景简单并与穿着的颜色有一定区别。</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拍摄上传成功后会出现如下界面</w:t>
      </w:r>
    </w:p>
    <w:p>
      <w:pPr>
        <w:jc w:val="center"/>
      </w:pPr>
      <w:r>
        <w:drawing>
          <wp:inline distT="0" distB="0" distL="0" distR="0">
            <wp:extent cx="2519680" cy="3487420"/>
            <wp:effectExtent l="19050" t="0" r="0" b="0"/>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noChangeArrowheads="1"/>
                    </pic:cNvPicPr>
                  </pic:nvPicPr>
                  <pic:blipFill>
                    <a:blip r:embed="rId11"/>
                    <a:srcRect b="32114"/>
                    <a:stretch>
                      <a:fillRect/>
                    </a:stretch>
                  </pic:blipFill>
                  <pic:spPr>
                    <a:xfrm>
                      <a:off x="0" y="0"/>
                      <a:ext cx="2519680" cy="3487420"/>
                    </a:xfrm>
                    <a:prstGeom prst="rect">
                      <a:avLst/>
                    </a:prstGeom>
                    <a:noFill/>
                    <a:ln w="9525" cmpd="sng">
                      <a:noFill/>
                      <a:miter lim="800000"/>
                      <a:headEnd/>
                      <a:tailEnd/>
                    </a:ln>
                  </pic:spPr>
                </pic:pic>
              </a:graphicData>
            </a:graphic>
          </wp:inline>
        </w:drawing>
      </w:r>
    </w:p>
    <w:p>
      <w:pPr>
        <w:ind w:firstLine="420"/>
      </w:pP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如果拍摄后提示人脸识别不通过，可能为以下原因：</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1.拍摄的人像与公安部身份证相片差别较大。</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2.系统鉴定为非真人（比如翻拍相片）。</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3.生成证件照质量较差。</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识别不通过时可以点击人脸识别结果查看不通过原因并重新尝试，当多次尝试不过后可以选择通过人工审核方式提交（需补充身份证正反面、手持身份证相片），等待人工审核（审核仍不通过的，及时与当地自学考试办公室联系咨询）。</w:t>
      </w:r>
    </w:p>
    <w:p>
      <w:pPr>
        <w:ind w:firstLine="420"/>
      </w:pPr>
    </w:p>
    <w:p>
      <w:pPr>
        <w:ind w:firstLine="420"/>
        <w:jc w:val="center"/>
      </w:pPr>
      <w:r>
        <w:drawing>
          <wp:inline distT="0" distB="0" distL="0" distR="0">
            <wp:extent cx="2211705" cy="3572510"/>
            <wp:effectExtent l="19050" t="0" r="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12" cstate="print"/>
                    <a:srcRect/>
                    <a:stretch>
                      <a:fillRect/>
                    </a:stretch>
                  </pic:blipFill>
                  <pic:spPr>
                    <a:xfrm>
                      <a:off x="0" y="0"/>
                      <a:ext cx="2211705" cy="3572510"/>
                    </a:xfrm>
                    <a:prstGeom prst="rect">
                      <a:avLst/>
                    </a:prstGeom>
                    <a:noFill/>
                    <a:ln w="9525" cmpd="sng">
                      <a:noFill/>
                      <a:miter lim="800000"/>
                      <a:headEnd/>
                      <a:tailEnd/>
                    </a:ln>
                  </pic:spPr>
                </pic:pic>
              </a:graphicData>
            </a:graphic>
          </wp:inline>
        </w:drawing>
      </w:r>
      <w:r>
        <w:rPr>
          <w:rFonts w:hint="eastAsia"/>
        </w:rPr>
        <w:t xml:space="preserve">    </w:t>
      </w:r>
      <w:r>
        <w:drawing>
          <wp:inline distT="0" distB="0" distL="0" distR="0">
            <wp:extent cx="2041525" cy="3604260"/>
            <wp:effectExtent l="19050" t="0" r="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noChangeArrowheads="1"/>
                    </pic:cNvPicPr>
                  </pic:nvPicPr>
                  <pic:blipFill>
                    <a:blip r:embed="rId13"/>
                    <a:srcRect/>
                    <a:stretch>
                      <a:fillRect/>
                    </a:stretch>
                  </pic:blipFill>
                  <pic:spPr>
                    <a:xfrm>
                      <a:off x="0" y="0"/>
                      <a:ext cx="2041525" cy="3604260"/>
                    </a:xfrm>
                    <a:prstGeom prst="rect">
                      <a:avLst/>
                    </a:prstGeom>
                    <a:noFill/>
                    <a:ln w="9525" cmpd="sng">
                      <a:noFill/>
                      <a:miter lim="800000"/>
                      <a:headEnd/>
                      <a:tailEnd/>
                    </a:ln>
                    <a:effectLst/>
                  </pic:spPr>
                </pic:pic>
              </a:graphicData>
            </a:graphic>
          </wp:inline>
        </w:drawing>
      </w:r>
    </w:p>
    <w:p>
      <w:pPr>
        <w:ind w:firstLine="420"/>
        <w:jc w:val="center"/>
      </w:pPr>
    </w:p>
    <w:p>
      <w:pPr>
        <w:ind w:firstLine="420"/>
      </w:pPr>
      <w:r>
        <w:drawing>
          <wp:inline distT="0" distB="0" distL="0" distR="0">
            <wp:extent cx="5262880" cy="1956435"/>
            <wp:effectExtent l="19050" t="0" r="0" b="0"/>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noChangeArrowheads="1"/>
                    </pic:cNvPicPr>
                  </pic:nvPicPr>
                  <pic:blipFill>
                    <a:blip r:embed="rId14"/>
                    <a:srcRect/>
                    <a:stretch>
                      <a:fillRect/>
                    </a:stretch>
                  </pic:blipFill>
                  <pic:spPr>
                    <a:xfrm>
                      <a:off x="0" y="0"/>
                      <a:ext cx="5262880" cy="1956435"/>
                    </a:xfrm>
                    <a:prstGeom prst="rect">
                      <a:avLst/>
                    </a:prstGeom>
                    <a:noFill/>
                    <a:ln w="9525" cmpd="sng">
                      <a:noFill/>
                      <a:miter lim="800000"/>
                      <a:headEnd/>
                      <a:tailEnd/>
                    </a:ln>
                  </pic:spPr>
                </pic:pic>
              </a:graphicData>
            </a:graphic>
          </wp:inline>
        </w:drawing>
      </w:r>
    </w:p>
    <w:p>
      <w:pPr>
        <w:ind w:firstLine="420"/>
      </w:pPr>
    </w:p>
    <w:p>
      <w:pPr>
        <w:ind w:firstLine="420"/>
      </w:pPr>
    </w:p>
    <w:p>
      <w:pPr>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第三步：生成准考证号-小程序端</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在小程序首页找到自考报名确认的入口，输入预报名号与密码后生成准考证号，完成正式报名。</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因照片审核未通过等原因无法获取准考证号的，应及时联系当地市自学考试办公室完成正式报名，11月27日后不再受理。</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注意：只有相片采集经审核通过的考生才能生成准考证号完成报名确认，相片采集在人工审核中的需等待审核通过。</w:t>
      </w:r>
    </w:p>
    <w:p>
      <w:pPr>
        <w:jc w:val="center"/>
      </w:pPr>
      <w:r>
        <w:drawing>
          <wp:inline distT="0" distB="0" distL="0" distR="0">
            <wp:extent cx="2583815" cy="5210175"/>
            <wp:effectExtent l="19050" t="0" r="6985" b="0"/>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noChangeArrowheads="1"/>
                    </pic:cNvPicPr>
                  </pic:nvPicPr>
                  <pic:blipFill>
                    <a:blip r:embed="rId15"/>
                    <a:srcRect/>
                    <a:stretch>
                      <a:fillRect/>
                    </a:stretch>
                  </pic:blipFill>
                  <pic:spPr>
                    <a:xfrm>
                      <a:off x="0" y="0"/>
                      <a:ext cx="2583815" cy="5210175"/>
                    </a:xfrm>
                    <a:prstGeom prst="rect">
                      <a:avLst/>
                    </a:prstGeom>
                    <a:noFill/>
                    <a:ln w="9525" cmpd="sng">
                      <a:noFill/>
                      <a:miter lim="800000"/>
                      <a:headEnd/>
                      <a:tailEnd/>
                    </a:ln>
                    <a:effectLst/>
                  </pic:spPr>
                </pic:pic>
              </a:graphicData>
            </a:graphic>
          </wp:inline>
        </w:drawing>
      </w:r>
      <w:r>
        <w:rPr>
          <w:rFonts w:hint="eastAsia"/>
        </w:rPr>
        <w:t xml:space="preserve">  </w:t>
      </w:r>
      <w:r>
        <w:drawing>
          <wp:inline distT="0" distB="0" distL="0" distR="0">
            <wp:extent cx="2552065" cy="5220335"/>
            <wp:effectExtent l="19050" t="0" r="635" b="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noChangeArrowheads="1"/>
                    </pic:cNvPicPr>
                  </pic:nvPicPr>
                  <pic:blipFill>
                    <a:blip r:embed="rId16"/>
                    <a:srcRect/>
                    <a:stretch>
                      <a:fillRect/>
                    </a:stretch>
                  </pic:blipFill>
                  <pic:spPr>
                    <a:xfrm>
                      <a:off x="0" y="0"/>
                      <a:ext cx="2552065" cy="5220335"/>
                    </a:xfrm>
                    <a:prstGeom prst="rect">
                      <a:avLst/>
                    </a:prstGeom>
                    <a:noFill/>
                    <a:ln w="9525" cmpd="sng">
                      <a:noFill/>
                      <a:miter lim="800000"/>
                      <a:headEnd/>
                      <a:tailEnd/>
                    </a:ln>
                  </pic:spPr>
                </pic:pic>
              </a:graphicData>
            </a:graphic>
          </wp:inline>
        </w:drawing>
      </w:r>
    </w:p>
    <w:p>
      <w:pPr>
        <w:rPr>
          <w:rFonts w:ascii="方正小标宋简体" w:hAnsi="方正小标宋简体" w:eastAsia="方正小标宋简体" w:cs="方正小标宋简体"/>
          <w:color w:val="FF0000"/>
          <w:sz w:val="44"/>
          <w:szCs w:val="44"/>
          <w:u w:val="single"/>
        </w:rPr>
      </w:pPr>
    </w:p>
    <w:p>
      <w:pPr>
        <w:rPr>
          <w:rFonts w:ascii="方正小标宋简体" w:hAnsi="方正小标宋简体" w:eastAsia="方正小标宋简体" w:cs="方正小标宋简体"/>
          <w:color w:val="FF0000"/>
          <w:sz w:val="44"/>
          <w:szCs w:val="44"/>
          <w:u w:val="single"/>
        </w:rPr>
      </w:pPr>
    </w:p>
    <w:p>
      <w:pPr>
        <w:rPr>
          <w:rFonts w:ascii="方正小标宋简体" w:hAnsi="方正小标宋简体" w:eastAsia="方正小标宋简体" w:cs="方正小标宋简体"/>
          <w:color w:val="FF0000"/>
          <w:sz w:val="44"/>
          <w:szCs w:val="44"/>
          <w:u w:val="single"/>
        </w:rPr>
      </w:pPr>
    </w:p>
    <w:p>
      <w:pPr>
        <w:rPr>
          <w:rFonts w:ascii="方正小标宋简体" w:hAnsi="方正小标宋简体" w:eastAsia="方正小标宋简体" w:cs="方正小标宋简体"/>
          <w:color w:val="FF0000"/>
          <w:sz w:val="44"/>
          <w:szCs w:val="44"/>
          <w:u w:val="single"/>
        </w:rPr>
      </w:pPr>
    </w:p>
    <w:p>
      <w:pPr>
        <w:rPr>
          <w:rFonts w:ascii="方正小标宋简体" w:hAnsi="方正小标宋简体" w:eastAsia="方正小标宋简体" w:cs="方正小标宋简体"/>
          <w:color w:val="FF0000"/>
          <w:sz w:val="44"/>
          <w:szCs w:val="44"/>
          <w:u w:val="single"/>
        </w:rPr>
      </w:pPr>
    </w:p>
    <w:p>
      <w:pPr>
        <w:rPr>
          <w:rFonts w:ascii="仿宋_GB2312" w:hAnsi="仿宋_GB2312" w:eastAsia="仿宋_GB2312" w:cs="仿宋_GB2312"/>
          <w:sz w:val="32"/>
          <w:szCs w:val="32"/>
        </w:rPr>
      </w:pPr>
      <w:r>
        <w:rPr>
          <w:rFonts w:hint="eastAsia" w:ascii="楷体" w:hAnsi="楷体" w:eastAsia="楷体"/>
          <w:sz w:val="30"/>
          <w:szCs w:val="30"/>
        </w:rPr>
        <w:t>附件4</w:t>
      </w:r>
    </w:p>
    <w:p>
      <w:pPr>
        <w:pStyle w:val="10"/>
        <w:widowControl/>
        <w:spacing w:beforeAutospacing="0" w:afterAutospacing="0" w:line="480" w:lineRule="exact"/>
        <w:jc w:val="center"/>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广东省高等教育自学考试考生报考流程图</w:t>
      </w:r>
    </w:p>
    <w:p>
      <w:pPr>
        <w:widowControl/>
        <w:jc w:val="left"/>
        <w:textAlignment w:val="center"/>
        <w:rPr>
          <w:rFonts w:ascii="黑体" w:hAnsi="黑体" w:eastAsia="黑体" w:cs="仿宋_GB2312"/>
          <w:color w:val="000000"/>
          <w:sz w:val="28"/>
          <w:szCs w:val="28"/>
        </w:rPr>
      </w:pPr>
      <w:r>
        <w:rPr>
          <w:rFonts w:ascii="仿宋_GB2312" w:hAnsi="仿宋_GB2312" w:eastAsia="仿宋_GB2312" w:cs="仿宋_GB2312"/>
          <w:color w:val="000000"/>
          <w:sz w:val="32"/>
          <w:szCs w:val="32"/>
          <w:shd w:val="clear" w:color="auto" w:fill="FFFFFF"/>
        </w:rPr>
        <w:drawing>
          <wp:inline distT="0" distB="0" distL="0" distR="0">
            <wp:extent cx="5833110" cy="7819390"/>
            <wp:effectExtent l="0" t="0" r="0" b="0"/>
            <wp:docPr id="2" name="图片 5" descr="报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报考"/>
                    <pic:cNvPicPr>
                      <a:picLocks noChangeAspect="1" noChangeArrowheads="1"/>
                    </pic:cNvPicPr>
                  </pic:nvPicPr>
                  <pic:blipFill>
                    <a:blip r:embed="rId17"/>
                    <a:srcRect/>
                    <a:stretch>
                      <a:fillRect/>
                    </a:stretch>
                  </pic:blipFill>
                  <pic:spPr>
                    <a:xfrm>
                      <a:off x="0" y="0"/>
                      <a:ext cx="5833241" cy="7819695"/>
                    </a:xfrm>
                    <a:prstGeom prst="rect">
                      <a:avLst/>
                    </a:prstGeom>
                    <a:noFill/>
                    <a:ln w="9525" cmpd="sng">
                      <a:noFill/>
                      <a:miter lim="800000"/>
                      <a:headEnd/>
                      <a:tailEnd/>
                    </a:ln>
                  </pic:spPr>
                </pic:pic>
              </a:graphicData>
            </a:graphic>
          </wp:inline>
        </w:drawing>
      </w:r>
    </w:p>
    <w:p>
      <w:pPr>
        <w:snapToGrid w:val="0"/>
        <w:rPr>
          <w:rFonts w:eastAsia="仿宋_GB2312"/>
          <w:sz w:val="28"/>
          <w:szCs w:val="28"/>
          <w:shd w:val="clear" w:color="auto" w:fill="FFFFFF"/>
        </w:rPr>
      </w:pPr>
      <w:r>
        <w:rPr>
          <w:rFonts w:eastAsia="黑体"/>
          <w:sz w:val="28"/>
          <w:szCs w:val="28"/>
          <w:shd w:val="clear" w:color="auto" w:fill="FFFFFF"/>
        </w:rPr>
        <w:t>附件</w:t>
      </w:r>
      <w:r>
        <w:rPr>
          <w:rFonts w:hint="eastAsia" w:eastAsia="黑体"/>
          <w:sz w:val="28"/>
          <w:szCs w:val="28"/>
          <w:shd w:val="clear" w:color="auto" w:fill="FFFFFF"/>
        </w:rPr>
        <w:t>5</w:t>
      </w:r>
    </w:p>
    <w:p>
      <w:pPr>
        <w:adjustRightInd w:val="0"/>
        <w:snapToGrid w:val="0"/>
        <w:spacing w:line="560" w:lineRule="exact"/>
        <w:jc w:val="center"/>
        <w:rPr>
          <w:rFonts w:eastAsia="方正小标宋简体"/>
          <w:sz w:val="44"/>
          <w:szCs w:val="44"/>
        </w:rPr>
      </w:pPr>
    </w:p>
    <w:p>
      <w:pPr>
        <w:adjustRightInd w:val="0"/>
        <w:snapToGrid w:val="0"/>
        <w:spacing w:line="560" w:lineRule="exact"/>
        <w:jc w:val="center"/>
        <w:rPr>
          <w:rFonts w:eastAsia="方正小标宋简体"/>
          <w:sz w:val="44"/>
          <w:szCs w:val="44"/>
        </w:rPr>
      </w:pPr>
      <w:r>
        <w:rPr>
          <w:rFonts w:eastAsia="方正小标宋简体"/>
          <w:sz w:val="44"/>
          <w:szCs w:val="44"/>
        </w:rPr>
        <w:t>广东省2023年1月自学</w:t>
      </w:r>
    </w:p>
    <w:p>
      <w:pPr>
        <w:adjustRightInd w:val="0"/>
        <w:snapToGrid w:val="0"/>
        <w:spacing w:line="560" w:lineRule="exact"/>
        <w:jc w:val="center"/>
        <w:rPr>
          <w:rFonts w:eastAsia="方正小标宋简体"/>
          <w:sz w:val="44"/>
          <w:szCs w:val="44"/>
        </w:rPr>
      </w:pPr>
      <w:r>
        <w:rPr>
          <w:rFonts w:eastAsia="方正小标宋简体"/>
          <w:sz w:val="44"/>
          <w:szCs w:val="44"/>
        </w:rPr>
        <w:t>考试疫情防控考生须知</w:t>
      </w:r>
    </w:p>
    <w:p>
      <w:pPr>
        <w:snapToGrid w:val="0"/>
        <w:spacing w:line="560" w:lineRule="exact"/>
        <w:rPr>
          <w:rFonts w:eastAsia="仿宋_GB2312"/>
          <w:sz w:val="32"/>
          <w:szCs w:val="32"/>
        </w:rPr>
      </w:pPr>
    </w:p>
    <w:p>
      <w:pPr>
        <w:spacing w:line="264" w:lineRule="auto"/>
        <w:rPr>
          <w:rFonts w:eastAsia="仿宋_GB2312"/>
          <w:sz w:val="32"/>
          <w:szCs w:val="32"/>
        </w:rPr>
      </w:pPr>
      <w:r>
        <w:rPr>
          <w:rFonts w:hint="eastAsia" w:eastAsia="仿宋_GB2312"/>
          <w:color w:val="333333"/>
          <w:spacing w:val="5"/>
          <w:sz w:val="32"/>
          <w:szCs w:val="32"/>
          <w:shd w:val="clear" w:color="auto" w:fill="FAF9FF"/>
        </w:rPr>
        <w:t xml:space="preserve">    </w:t>
      </w:r>
      <w:r>
        <w:rPr>
          <w:rFonts w:eastAsia="仿宋_GB2312"/>
          <w:color w:val="333333"/>
          <w:spacing w:val="5"/>
          <w:sz w:val="32"/>
          <w:szCs w:val="32"/>
          <w:shd w:val="clear" w:color="auto" w:fill="FAF9FF"/>
        </w:rPr>
        <w:t>2023年1月自学考试将于1月7日-8日举行。为确保广大参考人员的生命健康安全，确保考生顺利赴考，</w:t>
      </w:r>
      <w:r>
        <w:rPr>
          <w:rFonts w:eastAsia="仿宋"/>
          <w:color w:val="333333"/>
          <w:spacing w:val="5"/>
          <w:sz w:val="32"/>
          <w:szCs w:val="32"/>
          <w:shd w:val="clear" w:color="auto" w:fill="FAF9FF"/>
        </w:rPr>
        <w:t>请所有考生知悉以下防疫工作要求并遵照执行。</w:t>
      </w:r>
    </w:p>
    <w:p>
      <w:pPr>
        <w:snapToGrid w:val="0"/>
        <w:spacing w:line="560" w:lineRule="exact"/>
        <w:ind w:firstLine="611" w:firstLineChars="191"/>
        <w:rPr>
          <w:rFonts w:eastAsia="仿宋_GB2312"/>
          <w:sz w:val="32"/>
          <w:szCs w:val="32"/>
        </w:rPr>
      </w:pPr>
      <w:r>
        <w:rPr>
          <w:rFonts w:eastAsia="仿宋_GB2312"/>
          <w:sz w:val="32"/>
          <w:szCs w:val="32"/>
        </w:rPr>
        <w:t>一、所有考生须注册“粤（穗）康码”（以下简称“粤康码”）。“粤康码”非绿码的考生，应及时到相关部门核实。打印准考证时须在自学考试管理系统中如实填报“粤康码”状态等信息。</w:t>
      </w:r>
    </w:p>
    <w:p>
      <w:pPr>
        <w:snapToGrid w:val="0"/>
        <w:spacing w:line="560" w:lineRule="exact"/>
        <w:ind w:firstLine="611" w:firstLineChars="191"/>
        <w:rPr>
          <w:rFonts w:eastAsia="仿宋_GB2312"/>
          <w:sz w:val="32"/>
          <w:szCs w:val="32"/>
        </w:rPr>
      </w:pPr>
      <w:r>
        <w:rPr>
          <w:rFonts w:eastAsia="仿宋_GB2312"/>
          <w:sz w:val="32"/>
          <w:szCs w:val="32"/>
        </w:rPr>
        <w:t>二、考生须进行考前</w:t>
      </w:r>
      <w:r>
        <w:rPr>
          <w:rFonts w:hint="eastAsia" w:eastAsia="仿宋_GB2312"/>
          <w:sz w:val="32"/>
          <w:szCs w:val="32"/>
        </w:rPr>
        <w:t>8</w:t>
      </w:r>
      <w:r>
        <w:rPr>
          <w:rFonts w:eastAsia="仿宋_GB2312"/>
          <w:sz w:val="32"/>
          <w:szCs w:val="32"/>
        </w:rPr>
        <w:t>天自我健康观察，每日如实在广东省教育考试院官微中进行健康情况申报(申报说明见附件</w:t>
      </w:r>
      <w:r>
        <w:rPr>
          <w:rFonts w:hint="eastAsia" w:eastAsia="仿宋_GB2312"/>
          <w:sz w:val="32"/>
          <w:szCs w:val="32"/>
        </w:rPr>
        <w:t>5</w:t>
      </w:r>
      <w:r>
        <w:rPr>
          <w:rFonts w:eastAsia="仿宋_GB2312"/>
          <w:sz w:val="32"/>
          <w:szCs w:val="32"/>
        </w:rPr>
        <w:t>—1），同时如实填写考前</w:t>
      </w:r>
      <w:r>
        <w:rPr>
          <w:rFonts w:hint="eastAsia" w:eastAsia="仿宋_GB2312"/>
          <w:sz w:val="32"/>
          <w:szCs w:val="32"/>
        </w:rPr>
        <w:t>8</w:t>
      </w:r>
      <w:r>
        <w:rPr>
          <w:rFonts w:eastAsia="仿宋_GB2312"/>
          <w:sz w:val="32"/>
          <w:szCs w:val="32"/>
        </w:rPr>
        <w:t>天个人健康信息申报表（见附件</w:t>
      </w:r>
      <w:r>
        <w:rPr>
          <w:rFonts w:hint="eastAsia" w:eastAsia="仿宋_GB2312"/>
          <w:sz w:val="32"/>
          <w:szCs w:val="32"/>
        </w:rPr>
        <w:t>5</w:t>
      </w:r>
      <w:r>
        <w:rPr>
          <w:rFonts w:eastAsia="仿宋_GB2312"/>
          <w:sz w:val="32"/>
          <w:szCs w:val="32"/>
        </w:rPr>
        <w:t>—2），并在参加每场考试时提交考点工作人员。</w:t>
      </w:r>
    </w:p>
    <w:p>
      <w:pPr>
        <w:snapToGrid w:val="0"/>
        <w:spacing w:line="560" w:lineRule="exact"/>
        <w:ind w:firstLine="611" w:firstLineChars="191"/>
        <w:rPr>
          <w:rFonts w:eastAsia="仿宋_GB2312"/>
          <w:sz w:val="32"/>
          <w:szCs w:val="32"/>
        </w:rPr>
      </w:pPr>
      <w:r>
        <w:rPr>
          <w:rFonts w:eastAsia="仿宋_GB2312"/>
          <w:sz w:val="32"/>
          <w:szCs w:val="32"/>
        </w:rPr>
        <w:t>三、考生应了解考点所在地疫情防控相关要求，</w:t>
      </w:r>
      <w:r>
        <w:rPr>
          <w:rFonts w:eastAsia="仿宋_GB2312"/>
          <w:color w:val="000000"/>
          <w:sz w:val="32"/>
          <w:szCs w:val="32"/>
          <w:shd w:val="clear" w:color="auto" w:fill="FFFFFF"/>
        </w:rPr>
        <w:t>考前</w:t>
      </w:r>
      <w:r>
        <w:rPr>
          <w:rFonts w:hint="eastAsia" w:eastAsia="仿宋_GB2312"/>
          <w:color w:val="000000"/>
          <w:sz w:val="32"/>
          <w:szCs w:val="32"/>
          <w:shd w:val="clear" w:color="auto" w:fill="FFFFFF"/>
        </w:rPr>
        <w:t>8</w:t>
      </w:r>
      <w:r>
        <w:rPr>
          <w:rFonts w:eastAsia="仿宋_GB2312"/>
          <w:color w:val="000000"/>
          <w:sz w:val="32"/>
          <w:szCs w:val="32"/>
          <w:shd w:val="clear" w:color="auto" w:fill="FFFFFF"/>
        </w:rPr>
        <w:t>天提倡非必要不离开考点所在地级市。所有考生须按照考点属地政府疫情防控政策执行</w:t>
      </w:r>
      <w:r>
        <w:rPr>
          <w:rFonts w:eastAsia="仿宋_GB2312"/>
          <w:sz w:val="32"/>
          <w:szCs w:val="32"/>
        </w:rPr>
        <w:t>。</w:t>
      </w:r>
    </w:p>
    <w:p>
      <w:pPr>
        <w:snapToGrid w:val="0"/>
        <w:spacing w:line="560" w:lineRule="exact"/>
        <w:ind w:firstLine="611" w:firstLineChars="191"/>
        <w:rPr>
          <w:rFonts w:eastAsia="仿宋_GB2312"/>
          <w:sz w:val="32"/>
          <w:szCs w:val="32"/>
        </w:rPr>
      </w:pPr>
      <w:r>
        <w:rPr>
          <w:rFonts w:eastAsia="仿宋_GB2312"/>
          <w:sz w:val="32"/>
          <w:szCs w:val="32"/>
        </w:rPr>
        <w:t>四、所有考生进入考点时，必须粤康码为绿码，提供本次考试首日考前48小时内核酸检测阴性证明（电子或纸质均可，下同），现场测量体温正常（体温&lt;37.3℃)。</w:t>
      </w:r>
    </w:p>
    <w:p>
      <w:pPr>
        <w:snapToGrid w:val="0"/>
        <w:spacing w:line="560" w:lineRule="exact"/>
        <w:ind w:firstLine="640" w:firstLineChars="200"/>
        <w:rPr>
          <w:rFonts w:eastAsia="仿宋_GB2312"/>
          <w:sz w:val="32"/>
          <w:szCs w:val="32"/>
        </w:rPr>
      </w:pPr>
      <w:r>
        <w:rPr>
          <w:rFonts w:eastAsia="仿宋_GB2312"/>
          <w:sz w:val="32"/>
          <w:szCs w:val="32"/>
        </w:rPr>
        <w:t>五、考生有以下情况之一的，</w:t>
      </w:r>
      <w:r>
        <w:rPr>
          <w:rFonts w:eastAsia="仿宋_GB2312"/>
          <w:b/>
          <w:bCs/>
          <w:sz w:val="32"/>
          <w:szCs w:val="32"/>
        </w:rPr>
        <w:t>不得参加考试</w:t>
      </w:r>
      <w:r>
        <w:rPr>
          <w:rFonts w:eastAsia="仿宋_GB2312"/>
          <w:sz w:val="32"/>
          <w:szCs w:val="32"/>
        </w:rPr>
        <w:t>。</w:t>
      </w:r>
    </w:p>
    <w:p>
      <w:pPr>
        <w:pStyle w:val="33"/>
        <w:snapToGrid w:val="0"/>
        <w:ind w:firstLine="0" w:firstLineChars="0"/>
        <w:rPr>
          <w:rFonts w:eastAsia="仿宋_GB2312"/>
          <w:sz w:val="32"/>
        </w:rPr>
      </w:pPr>
      <w:r>
        <w:rPr>
          <w:rFonts w:eastAsia="仿宋_GB2312"/>
          <w:sz w:val="32"/>
        </w:rPr>
        <w:t xml:space="preserve">    （一）正处于隔离治疗期的确诊病例、无症状感染者，以及隔离（监测）期未满的密切接触者、入境人员；</w:t>
      </w:r>
    </w:p>
    <w:p>
      <w:pPr>
        <w:snapToGrid w:val="0"/>
        <w:spacing w:line="560" w:lineRule="exact"/>
        <w:rPr>
          <w:rFonts w:eastAsia="仿宋_GB2312"/>
          <w:sz w:val="32"/>
          <w:szCs w:val="32"/>
        </w:rPr>
      </w:pPr>
      <w:r>
        <w:rPr>
          <w:rFonts w:eastAsia="仿宋_GB2312"/>
          <w:sz w:val="32"/>
          <w:szCs w:val="32"/>
        </w:rPr>
        <w:t xml:space="preserve">    （二）有国内高风险地区旅居史且隔离（监测）期未满的;</w:t>
      </w:r>
    </w:p>
    <w:p>
      <w:pPr>
        <w:pStyle w:val="33"/>
        <w:snapToGrid w:val="0"/>
        <w:ind w:firstLine="640"/>
        <w:rPr>
          <w:rFonts w:eastAsia="仿宋_GB2312"/>
          <w:sz w:val="32"/>
        </w:rPr>
      </w:pPr>
      <w:r>
        <w:rPr>
          <w:rFonts w:eastAsia="仿宋_GB2312"/>
          <w:sz w:val="32"/>
        </w:rPr>
        <w:t>（三）粤康码为红码或黄码的；</w:t>
      </w:r>
    </w:p>
    <w:p>
      <w:pPr>
        <w:snapToGrid w:val="0"/>
        <w:spacing w:line="560" w:lineRule="exact"/>
        <w:ind w:firstLine="640" w:firstLineChars="200"/>
        <w:rPr>
          <w:rFonts w:eastAsia="仿宋_GB2312"/>
          <w:sz w:val="32"/>
          <w:szCs w:val="32"/>
        </w:rPr>
      </w:pPr>
      <w:r>
        <w:rPr>
          <w:rFonts w:eastAsia="仿宋_GB2312"/>
          <w:sz w:val="32"/>
          <w:szCs w:val="32"/>
        </w:rPr>
        <w:t>（四）不能提供考前48小时内核酸检测阴性证明的；</w:t>
      </w:r>
    </w:p>
    <w:p>
      <w:pPr>
        <w:snapToGrid w:val="0"/>
        <w:spacing w:line="560" w:lineRule="exact"/>
        <w:ind w:firstLine="640" w:firstLineChars="200"/>
        <w:rPr>
          <w:rFonts w:eastAsia="仿宋_GB2312"/>
          <w:sz w:val="32"/>
          <w:szCs w:val="32"/>
        </w:rPr>
      </w:pPr>
      <w:r>
        <w:rPr>
          <w:rFonts w:eastAsia="仿宋_GB2312"/>
          <w:sz w:val="32"/>
          <w:szCs w:val="32"/>
        </w:rPr>
        <w:t>（五）现场测量体温不正常（体温≥37.3℃），在临时观察区适当休息后，再次测量体温仍然不正常的;</w:t>
      </w:r>
    </w:p>
    <w:p>
      <w:pPr>
        <w:pStyle w:val="33"/>
        <w:snapToGrid w:val="0"/>
        <w:ind w:firstLine="0" w:firstLineChars="0"/>
        <w:rPr>
          <w:rFonts w:eastAsia="仿宋_GB2312"/>
          <w:sz w:val="32"/>
        </w:rPr>
      </w:pPr>
      <w:r>
        <w:rPr>
          <w:rFonts w:eastAsia="仿宋_GB2312"/>
          <w:sz w:val="32"/>
        </w:rPr>
        <w:t xml:space="preserve">    （六）不符合考点所在地地级市政府疫情防控政策相关要求的；    </w:t>
      </w:r>
    </w:p>
    <w:p>
      <w:pPr>
        <w:snapToGrid w:val="0"/>
        <w:spacing w:line="560" w:lineRule="exact"/>
        <w:rPr>
          <w:rFonts w:eastAsia="仿宋_GB2312"/>
          <w:sz w:val="32"/>
          <w:szCs w:val="32"/>
        </w:rPr>
      </w:pPr>
      <w:r>
        <w:rPr>
          <w:rFonts w:eastAsia="仿宋_GB2312"/>
          <w:sz w:val="32"/>
          <w:szCs w:val="32"/>
        </w:rPr>
        <w:t xml:space="preserve">    （七）其他情况由现场卫生防疫人员研判后认定为不能够参加考试的。</w:t>
      </w:r>
    </w:p>
    <w:p>
      <w:pPr>
        <w:snapToGrid w:val="0"/>
        <w:spacing w:line="560" w:lineRule="exact"/>
        <w:ind w:firstLine="640" w:firstLineChars="200"/>
        <w:rPr>
          <w:rFonts w:eastAsia="仿宋_GB2312"/>
          <w:sz w:val="32"/>
          <w:szCs w:val="32"/>
        </w:rPr>
      </w:pPr>
      <w:r>
        <w:rPr>
          <w:rFonts w:eastAsia="仿宋_GB2312"/>
          <w:sz w:val="32"/>
          <w:szCs w:val="32"/>
        </w:rPr>
        <w:t>六、考生进入考点时均要佩戴一次性医用或以上级别口罩，向考点工作人员出示手机上的“粤康码”绿码，接受准考证、身份证、“粤康码”核查，提交健康信息申报表。进入考场前将手机放在指定地方。</w:t>
      </w:r>
    </w:p>
    <w:p>
      <w:pPr>
        <w:snapToGrid w:val="0"/>
        <w:spacing w:line="560" w:lineRule="exact"/>
        <w:ind w:firstLine="611" w:firstLineChars="191"/>
        <w:rPr>
          <w:rFonts w:eastAsia="仿宋_GB2312"/>
          <w:sz w:val="32"/>
          <w:szCs w:val="32"/>
        </w:rPr>
      </w:pPr>
      <w:r>
        <w:rPr>
          <w:rFonts w:eastAsia="仿宋_GB2312"/>
          <w:sz w:val="32"/>
          <w:szCs w:val="32"/>
        </w:rP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snapToGrid w:val="0"/>
        <w:spacing w:line="560" w:lineRule="exact"/>
        <w:ind w:firstLine="611" w:firstLineChars="191"/>
        <w:rPr>
          <w:rFonts w:eastAsia="仿宋_GB2312"/>
          <w:sz w:val="32"/>
          <w:szCs w:val="32"/>
        </w:rPr>
      </w:pPr>
      <w:r>
        <w:rPr>
          <w:rFonts w:eastAsia="仿宋_GB2312"/>
          <w:sz w:val="32"/>
          <w:szCs w:val="32"/>
        </w:rPr>
        <w:t>七、考生进入考场前应用速干手消毒剂进行手消毒或者洗手；进入备用隔离考场的，必须用速干手消毒剂进行手消毒，且考试过程应全程佩戴口罩。</w:t>
      </w:r>
    </w:p>
    <w:p>
      <w:pPr>
        <w:snapToGrid w:val="0"/>
        <w:spacing w:line="560" w:lineRule="exact"/>
        <w:ind w:firstLine="640"/>
        <w:rPr>
          <w:rFonts w:eastAsia="仿宋_GB2312"/>
          <w:sz w:val="32"/>
          <w:szCs w:val="32"/>
        </w:rPr>
      </w:pPr>
      <w:r>
        <w:rPr>
          <w:rFonts w:eastAsia="仿宋_GB2312"/>
          <w:sz w:val="32"/>
          <w:szCs w:val="32"/>
        </w:rPr>
        <w:t>八、实施常态化防控措施区域的考生，在进入考场前要佩戴口罩，进入考场就座后，可自行决定是否继续佩戴；若考点属地防疫政策另有要求的，按属地防疫要求执行。考生进行身份核验时(包括人脸识别技术和人工比对身份证检查），须摘除口罩，不得因为佩戴口罩影响身份核验。</w:t>
      </w:r>
    </w:p>
    <w:p>
      <w:pPr>
        <w:snapToGrid w:val="0"/>
        <w:spacing w:line="560" w:lineRule="exact"/>
        <w:ind w:firstLine="640"/>
        <w:rPr>
          <w:rFonts w:eastAsia="仿宋_GB2312"/>
          <w:sz w:val="32"/>
          <w:szCs w:val="32"/>
        </w:rPr>
      </w:pPr>
      <w:r>
        <w:rPr>
          <w:rFonts w:eastAsia="仿宋_GB2312"/>
          <w:sz w:val="32"/>
          <w:szCs w:val="32"/>
        </w:rPr>
        <w:t>九、考试结束后，考生要按监考员的指令有序离场，保持人员间距，减少交谈。考点可安排各考场错峰离场。</w:t>
      </w:r>
    </w:p>
    <w:p>
      <w:pPr>
        <w:pStyle w:val="33"/>
        <w:snapToGrid w:val="0"/>
        <w:ind w:firstLine="640"/>
        <w:rPr>
          <w:rFonts w:eastAsia="仿宋_GB2312"/>
          <w:sz w:val="32"/>
        </w:rPr>
      </w:pPr>
      <w:r>
        <w:rPr>
          <w:rFonts w:eastAsia="仿宋_GB2312"/>
          <w:sz w:val="32"/>
        </w:rPr>
        <w:t>十、考生报考2023年1月自学考试因疫情防控需要而未能参加考试的，不纳入自学考试诚信报考档案，可按规定正常报考下一次自学考试。</w:t>
      </w:r>
    </w:p>
    <w:p>
      <w:pPr>
        <w:snapToGrid w:val="0"/>
        <w:spacing w:line="560" w:lineRule="exact"/>
        <w:ind w:firstLine="640"/>
        <w:rPr>
          <w:rFonts w:eastAsia="仿宋_GB2312"/>
          <w:color w:val="000000"/>
          <w:sz w:val="32"/>
          <w:szCs w:val="32"/>
          <w:shd w:val="clear" w:color="auto" w:fill="FFFFFF"/>
        </w:rPr>
      </w:pPr>
      <w:r>
        <w:rPr>
          <w:rFonts w:eastAsia="仿宋_GB2312"/>
          <w:color w:val="000000"/>
          <w:sz w:val="32"/>
          <w:szCs w:val="32"/>
          <w:shd w:val="clear" w:color="auto" w:fill="FFFFFF"/>
        </w:rPr>
        <w:t>十一、考试疫情防控措施根据疫情形势政策会有相应调整。请考生持续密切关注广东省教育考试院官网、官微及本人所在考区官网、官微发布的最新通知信息，以确保考生及时知悉本次考试相关消息。</w:t>
      </w:r>
    </w:p>
    <w:p>
      <w:pPr>
        <w:snapToGrid w:val="0"/>
        <w:spacing w:line="560" w:lineRule="exact"/>
        <w:rPr>
          <w:rFonts w:eastAsia="仿宋_GB2312"/>
          <w:sz w:val="32"/>
          <w:szCs w:val="32"/>
        </w:rPr>
      </w:pPr>
    </w:p>
    <w:p>
      <w:pPr>
        <w:snapToGrid w:val="0"/>
        <w:spacing w:line="560" w:lineRule="exact"/>
        <w:rPr>
          <w:bCs/>
          <w:sz w:val="28"/>
          <w:szCs w:val="28"/>
        </w:rPr>
      </w:pPr>
    </w:p>
    <w:p>
      <w:pPr>
        <w:snapToGrid w:val="0"/>
        <w:spacing w:line="560" w:lineRule="exact"/>
        <w:rPr>
          <w:bCs/>
          <w:sz w:val="28"/>
          <w:szCs w:val="28"/>
        </w:rPr>
      </w:pPr>
      <w:r>
        <w:rPr>
          <w:bCs/>
          <w:sz w:val="28"/>
          <w:szCs w:val="28"/>
        </w:rPr>
        <w:br w:type="page"/>
      </w:r>
      <w:r>
        <w:rPr>
          <w:rFonts w:eastAsia="黑体"/>
          <w:sz w:val="28"/>
          <w:szCs w:val="28"/>
          <w:shd w:val="clear" w:color="auto" w:fill="FFFFFF"/>
        </w:rPr>
        <w:t>附件</w:t>
      </w:r>
      <w:r>
        <w:rPr>
          <w:rFonts w:hint="eastAsia" w:eastAsia="黑体"/>
          <w:sz w:val="28"/>
          <w:szCs w:val="28"/>
          <w:shd w:val="clear" w:color="auto" w:fill="FFFFFF"/>
        </w:rPr>
        <w:t>5</w:t>
      </w:r>
      <w:r>
        <w:rPr>
          <w:rFonts w:eastAsia="黑体"/>
          <w:sz w:val="28"/>
          <w:szCs w:val="28"/>
          <w:shd w:val="clear" w:color="auto" w:fill="FFFFFF"/>
        </w:rPr>
        <w:t>—1</w:t>
      </w:r>
    </w:p>
    <w:p>
      <w:pPr>
        <w:snapToGrid w:val="0"/>
        <w:spacing w:line="560" w:lineRule="exact"/>
        <w:rPr>
          <w:b/>
          <w:sz w:val="32"/>
          <w:szCs w:val="32"/>
        </w:rPr>
      </w:pPr>
      <w:r>
        <w:rPr>
          <w:b/>
          <w:sz w:val="32"/>
          <w:szCs w:val="32"/>
        </w:rPr>
        <w:t>【考生健康上报说明】</w:t>
      </w:r>
    </w:p>
    <w:p>
      <w:pPr>
        <w:pStyle w:val="34"/>
        <w:snapToGrid w:val="0"/>
        <w:spacing w:line="560" w:lineRule="exact"/>
        <w:ind w:firstLine="0" w:firstLineChars="0"/>
        <w:rPr>
          <w:rFonts w:ascii="Times New Roman" w:hAnsi="Times New Roman" w:cs="Times New Roman"/>
          <w:bCs/>
          <w:sz w:val="32"/>
          <w:szCs w:val="32"/>
        </w:rPr>
      </w:pPr>
      <w:r>
        <w:rPr>
          <w:rFonts w:ascii="Times New Roman" w:hAnsi="Times New Roman" w:cs="Times New Roman"/>
          <w:bCs/>
          <w:sz w:val="32"/>
          <w:szCs w:val="32"/>
        </w:rPr>
        <w:t>1. 关注广东省教育考试院微信公众号</w:t>
      </w:r>
    </w:p>
    <w:p>
      <w:pPr>
        <w:pStyle w:val="34"/>
        <w:snapToGrid w:val="0"/>
        <w:spacing w:line="560" w:lineRule="exact"/>
        <w:ind w:firstLine="0" w:firstLineChars="0"/>
        <w:rPr>
          <w:rFonts w:ascii="Times New Roman" w:hAnsi="Times New Roman" w:cs="Times New Roman"/>
          <w:bCs/>
          <w:sz w:val="32"/>
          <w:szCs w:val="32"/>
        </w:rPr>
      </w:pPr>
      <w:r>
        <w:rPr>
          <w:rFonts w:ascii="Times New Roman" w:hAnsi="Times New Roman" w:cs="Times New Roman"/>
          <w:bCs/>
          <w:sz w:val="32"/>
          <w:szCs w:val="32"/>
        </w:rPr>
        <w:t>2. 点击右下角【办事服务】&gt; 【健康上报】</w:t>
      </w:r>
    </w:p>
    <w:p>
      <w:pPr>
        <w:pStyle w:val="34"/>
        <w:ind w:left="720" w:firstLine="0" w:firstLineChars="0"/>
        <w:rPr>
          <w:rFonts w:ascii="Times New Roman" w:hAnsi="Times New Roman" w:cs="Times New Roman"/>
          <w:b/>
          <w:sz w:val="28"/>
          <w:szCs w:val="28"/>
        </w:rPr>
      </w:pPr>
      <w:r>
        <w:rPr>
          <w:rFonts w:ascii="Times New Roman" w:hAnsi="Times New Roman" w:cs="Times New Roman"/>
        </w:rPr>
        <w:drawing>
          <wp:inline distT="0" distB="0" distL="114300" distR="114300">
            <wp:extent cx="3437890" cy="6323330"/>
            <wp:effectExtent l="0" t="0" r="10160" b="127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8"/>
                    <a:stretch>
                      <a:fillRect/>
                    </a:stretch>
                  </pic:blipFill>
                  <pic:spPr>
                    <a:xfrm>
                      <a:off x="0" y="0"/>
                      <a:ext cx="3437890" cy="6323330"/>
                    </a:xfrm>
                    <a:prstGeom prst="rect">
                      <a:avLst/>
                    </a:prstGeom>
                    <a:noFill/>
                    <a:ln w="9525">
                      <a:noFill/>
                    </a:ln>
                  </pic:spPr>
                </pic:pic>
              </a:graphicData>
            </a:graphic>
          </wp:inline>
        </w:drawing>
      </w:r>
    </w:p>
    <w:p>
      <w:pPr>
        <w:pStyle w:val="34"/>
        <w:ind w:left="720" w:firstLine="0" w:firstLineChars="0"/>
        <w:rPr>
          <w:rFonts w:ascii="Times New Roman" w:hAnsi="Times New Roman" w:cs="Times New Roman"/>
          <w:b/>
          <w:sz w:val="28"/>
          <w:szCs w:val="28"/>
        </w:rPr>
      </w:pPr>
    </w:p>
    <w:p>
      <w:pPr>
        <w:pStyle w:val="34"/>
        <w:ind w:firstLine="0" w:firstLineChars="0"/>
        <w:rPr>
          <w:rFonts w:ascii="Times New Roman" w:hAnsi="Times New Roman" w:cs="Times New Roman"/>
          <w:bCs/>
          <w:sz w:val="32"/>
          <w:szCs w:val="32"/>
        </w:rPr>
      </w:pPr>
      <w:r>
        <w:rPr>
          <w:rFonts w:ascii="Times New Roman" w:hAnsi="Times New Roman" w:cs="Times New Roman"/>
          <w:bCs/>
          <w:sz w:val="32"/>
          <w:szCs w:val="32"/>
        </w:rPr>
        <w:t>3. 登录</w:t>
      </w:r>
    </w:p>
    <w:p>
      <w:pPr>
        <w:pStyle w:val="34"/>
        <w:ind w:left="720" w:firstLine="0" w:firstLineChars="0"/>
        <w:rPr>
          <w:rFonts w:ascii="Times New Roman" w:hAnsi="Times New Roman" w:cs="Times New Roman"/>
          <w:b/>
          <w:sz w:val="28"/>
          <w:szCs w:val="28"/>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INCLUDEPICTURE \d "C:\\Users\\admin\\Documents\\WXWorkLocal\\1688849881343339_1970325008038486\\Cache\\Image\\2022-11\\政务微信截图_16674418276642.png"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drawing>
          <wp:inline distT="0" distB="0" distL="114300" distR="114300">
            <wp:extent cx="5210175" cy="4086225"/>
            <wp:effectExtent l="0" t="0" r="9525" b="9525"/>
            <wp:docPr id="14"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IMG_256"/>
                    <pic:cNvPicPr>
                      <a:picLocks noChangeAspect="1"/>
                    </pic:cNvPicPr>
                  </pic:nvPicPr>
                  <pic:blipFill>
                    <a:blip r:embed="rId19"/>
                    <a:stretch>
                      <a:fillRect/>
                    </a:stretch>
                  </pic:blipFill>
                  <pic:spPr>
                    <a:xfrm>
                      <a:off x="0" y="0"/>
                      <a:ext cx="5210175" cy="4086225"/>
                    </a:xfrm>
                    <a:prstGeom prst="rect">
                      <a:avLst/>
                    </a:prstGeom>
                    <a:noFill/>
                    <a:ln w="9525">
                      <a:noFill/>
                    </a:ln>
                  </pic:spPr>
                </pic:pic>
              </a:graphicData>
            </a:graphic>
          </wp:inline>
        </w:drawing>
      </w:r>
      <w:r>
        <w:rPr>
          <w:rFonts w:ascii="Times New Roman" w:hAnsi="Times New Roman" w:cs="Times New Roman"/>
          <w:sz w:val="24"/>
          <w:szCs w:val="24"/>
        </w:rPr>
        <w:fldChar w:fldCharType="end"/>
      </w:r>
    </w:p>
    <w:p>
      <w:pPr>
        <w:pStyle w:val="34"/>
        <w:ind w:firstLine="0" w:firstLineChars="0"/>
        <w:rPr>
          <w:rFonts w:ascii="Times New Roman" w:hAnsi="Times New Roman" w:cs="Times New Roman"/>
          <w:bCs/>
          <w:sz w:val="32"/>
          <w:szCs w:val="32"/>
        </w:rPr>
      </w:pPr>
      <w:r>
        <w:rPr>
          <w:rFonts w:ascii="Times New Roman" w:hAnsi="Times New Roman" w:cs="Times New Roman"/>
          <w:bCs/>
          <w:sz w:val="32"/>
          <w:szCs w:val="32"/>
        </w:rPr>
        <w:t>4. 首次上报时，需要授权允许获取当前考生所在位置信息</w:t>
      </w:r>
    </w:p>
    <w:p>
      <w:pPr>
        <w:pStyle w:val="34"/>
        <w:ind w:firstLine="0" w:firstLineChars="0"/>
        <w:rPr>
          <w:rFonts w:ascii="Times New Roman" w:hAnsi="Times New Roman" w:cs="Times New Roman"/>
          <w:bCs/>
          <w:sz w:val="32"/>
          <w:szCs w:val="32"/>
        </w:rPr>
      </w:pPr>
      <w:r>
        <w:rPr>
          <w:rFonts w:ascii="Times New Roman" w:hAnsi="Times New Roman" w:cs="Times New Roman"/>
          <w:bCs/>
          <w:sz w:val="32"/>
          <w:szCs w:val="32"/>
        </w:rPr>
        <w:t>5. 每日如实完成个人健康上报</w:t>
      </w:r>
    </w:p>
    <w:p>
      <w:pPr>
        <w:pStyle w:val="34"/>
        <w:ind w:firstLine="0" w:firstLineChars="0"/>
        <w:rPr>
          <w:rFonts w:ascii="Times New Roman" w:hAnsi="Times New Roman" w:cs="Times New Roman"/>
          <w:bCs/>
          <w:sz w:val="32"/>
          <w:szCs w:val="32"/>
        </w:rPr>
      </w:pPr>
      <w:r>
        <w:rPr>
          <w:rFonts w:ascii="Times New Roman" w:hAnsi="Times New Roman" w:cs="Times New Roman"/>
          <w:bCs/>
          <w:sz w:val="32"/>
          <w:szCs w:val="32"/>
        </w:rPr>
        <w:t>6. 考前1天可查看【上报记录】。</w:t>
      </w:r>
    </w:p>
    <w:p>
      <w:pPr>
        <w:pStyle w:val="34"/>
        <w:ind w:left="960" w:hanging="960" w:hangingChars="300"/>
        <w:rPr>
          <w:rFonts w:ascii="Times New Roman" w:hAnsi="Times New Roman" w:cs="Times New Roman"/>
          <w:bCs/>
          <w:sz w:val="32"/>
          <w:szCs w:val="32"/>
        </w:rPr>
      </w:pPr>
      <w:r>
        <w:rPr>
          <w:rFonts w:ascii="Times New Roman" w:hAnsi="Times New Roman" w:cs="Times New Roman"/>
          <w:bCs/>
          <w:sz w:val="32"/>
          <w:szCs w:val="32"/>
        </w:rPr>
        <w:t>7. 考生除按上进行健康情况申报外，在打印准考证时一并下载打印《防疫须知》中的附件一，填写考前</w:t>
      </w:r>
      <w:r>
        <w:rPr>
          <w:rFonts w:hint="eastAsia" w:ascii="Times New Roman" w:hAnsi="Times New Roman" w:cs="Times New Roman"/>
          <w:b/>
          <w:sz w:val="32"/>
          <w:szCs w:val="32"/>
        </w:rPr>
        <w:t>8</w:t>
      </w:r>
      <w:r>
        <w:rPr>
          <w:rFonts w:ascii="Times New Roman" w:hAnsi="Times New Roman" w:cs="Times New Roman"/>
          <w:bCs/>
          <w:sz w:val="32"/>
          <w:szCs w:val="32"/>
        </w:rPr>
        <w:t>天个人健康信息申报表于每场考试进入考点时提交考点工作人员。</w:t>
      </w:r>
    </w:p>
    <w:p>
      <w:pPr>
        <w:rPr>
          <w:bCs/>
          <w:sz w:val="28"/>
          <w:szCs w:val="28"/>
        </w:rPr>
      </w:pPr>
    </w:p>
    <w:p>
      <w:pPr>
        <w:pStyle w:val="33"/>
        <w:ind w:firstLine="560"/>
        <w:rPr>
          <w:bCs/>
          <w:sz w:val="28"/>
          <w:szCs w:val="28"/>
        </w:rPr>
      </w:pPr>
    </w:p>
    <w:p/>
    <w:p>
      <w:pPr>
        <w:rPr>
          <w:b/>
          <w:sz w:val="32"/>
          <w:szCs w:val="32"/>
        </w:rPr>
      </w:pPr>
      <w:r>
        <w:rPr>
          <w:b/>
          <w:sz w:val="32"/>
          <w:szCs w:val="32"/>
        </w:rPr>
        <w:t>【考生健康上报常见问题】</w:t>
      </w:r>
    </w:p>
    <w:p>
      <w:pPr>
        <w:rPr>
          <w:sz w:val="32"/>
          <w:szCs w:val="32"/>
        </w:rPr>
      </w:pPr>
      <w:r>
        <w:rPr>
          <w:rFonts w:hint="eastAsia"/>
          <w:bCs/>
          <w:sz w:val="32"/>
          <w:szCs w:val="32"/>
        </w:rPr>
        <w:t xml:space="preserve">1. </w:t>
      </w:r>
      <w:r>
        <w:rPr>
          <w:sz w:val="32"/>
          <w:szCs w:val="32"/>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pStyle w:val="34"/>
        <w:ind w:firstLine="0" w:firstLineChars="0"/>
        <w:rPr>
          <w:rFonts w:ascii="Times New Roman" w:hAnsi="Times New Roman" w:cs="Times New Roman"/>
          <w:sz w:val="32"/>
          <w:szCs w:val="32"/>
        </w:rPr>
      </w:pPr>
      <w:r>
        <w:rPr>
          <w:rFonts w:hint="eastAsia" w:ascii="Times New Roman" w:hAnsi="Times New Roman" w:cs="Times New Roman"/>
          <w:sz w:val="32"/>
          <w:szCs w:val="32"/>
        </w:rPr>
        <w:t xml:space="preserve">2. </w:t>
      </w:r>
      <w:r>
        <w:rPr>
          <w:rFonts w:ascii="Times New Roman" w:hAnsi="Times New Roman" w:cs="Times New Roman"/>
          <w:sz w:val="32"/>
          <w:szCs w:val="32"/>
        </w:rPr>
        <w:t>申报记录在每日凌晨由系统生成前一天的数据，因此考生查不到当天申报的信息属于正常现象，只要正常申报即可。只有连续正常上报且状态正常的考生，在申报记录才会显示以下内容：</w:t>
      </w:r>
    </w:p>
    <w:p>
      <w:pPr>
        <w:pStyle w:val="34"/>
        <w:ind w:firstLine="0" w:firstLineChars="0"/>
        <w:rPr>
          <w:rFonts w:ascii="Times New Roman" w:hAnsi="Times New Roman" w:cs="Times New Roman"/>
          <w:sz w:val="32"/>
          <w:szCs w:val="32"/>
        </w:rPr>
      </w:pPr>
      <w:r>
        <w:rPr>
          <w:rFonts w:ascii="Times New Roman" w:hAnsi="Times New Roman" w:cs="Times New Roman"/>
          <w:sz w:val="32"/>
          <w:szCs w:val="32"/>
        </w:rPr>
        <w:t>“</w:t>
      </w:r>
      <w:r>
        <w:rPr>
          <w:rFonts w:ascii="Times New Roman" w:hAnsi="Times New Roman" w:cs="Times New Roman"/>
          <w:b/>
          <w:sz w:val="32"/>
          <w:szCs w:val="32"/>
        </w:rPr>
        <w:t>自某月某日起，您已连续完成N天健康申报，状态正常</w:t>
      </w:r>
      <w:r>
        <w:rPr>
          <w:rFonts w:ascii="Times New Roman" w:hAnsi="Times New Roman" w:cs="Times New Roman"/>
          <w:sz w:val="32"/>
          <w:szCs w:val="32"/>
        </w:rPr>
        <w:t>”</w:t>
      </w:r>
    </w:p>
    <w:p>
      <w:pPr>
        <w:pStyle w:val="34"/>
        <w:ind w:firstLine="0" w:firstLineChars="0"/>
        <w:rPr>
          <w:rFonts w:ascii="Times New Roman" w:hAnsi="Times New Roman" w:cs="Times New Roman"/>
          <w:sz w:val="32"/>
          <w:szCs w:val="32"/>
        </w:rPr>
      </w:pPr>
      <w:r>
        <w:rPr>
          <w:rFonts w:ascii="Times New Roman" w:hAnsi="Times New Roman" w:cs="Times New Roman"/>
          <w:sz w:val="32"/>
          <w:szCs w:val="32"/>
        </w:rPr>
        <w:t>此外，连续正常上报考生的水印是绿色，存在异常的水印是红色。</w:t>
      </w:r>
    </w:p>
    <w:p>
      <w:pPr>
        <w:pStyle w:val="34"/>
        <w:ind w:firstLine="0" w:firstLineChars="0"/>
        <w:rPr>
          <w:rFonts w:ascii="Times New Roman" w:hAnsi="Times New Roman" w:cs="Times New Roman"/>
          <w:sz w:val="32"/>
          <w:szCs w:val="32"/>
        </w:rPr>
      </w:pPr>
      <w:r>
        <w:rPr>
          <w:rFonts w:hint="eastAsia" w:ascii="Times New Roman" w:hAnsi="Times New Roman" w:cs="Times New Roman"/>
          <w:sz w:val="32"/>
          <w:szCs w:val="32"/>
        </w:rPr>
        <w:t xml:space="preserve">3. </w:t>
      </w:r>
      <w:r>
        <w:rPr>
          <w:rFonts w:ascii="Times New Roman" w:hAnsi="Times New Roman" w:cs="Times New Roman"/>
          <w:sz w:val="32"/>
          <w:szCs w:val="32"/>
        </w:rPr>
        <w:t>当发现公众号上报链接打不开时，请用手机浏览器访问 https://www.eeagd.edu.cn/healthcodewx 验证网络是否正常，若此链接能打开，则请尝试重新关注公众号，清理微信缓存然后再试。</w:t>
      </w:r>
    </w:p>
    <w:p>
      <w:pPr>
        <w:pStyle w:val="34"/>
        <w:ind w:firstLine="0" w:firstLineChars="0"/>
        <w:rPr>
          <w:rFonts w:ascii="Times New Roman" w:hAnsi="Times New Roman" w:cs="Times New Roman"/>
          <w:sz w:val="32"/>
          <w:szCs w:val="32"/>
        </w:rPr>
      </w:pPr>
      <w:r>
        <w:rPr>
          <w:rFonts w:hint="eastAsia" w:ascii="Times New Roman" w:hAnsi="Times New Roman" w:cs="Times New Roman"/>
          <w:sz w:val="32"/>
          <w:szCs w:val="32"/>
        </w:rPr>
        <w:t xml:space="preserve">4. </w:t>
      </w:r>
      <w:r>
        <w:rPr>
          <w:rFonts w:ascii="Times New Roman" w:hAnsi="Times New Roman" w:cs="Times New Roman"/>
          <w:sz w:val="32"/>
          <w:szCs w:val="32"/>
        </w:rPr>
        <w:t>同一身份证办了多个准考证号的考生、身份证号码是15位的考生以及身份证有误的考生均无法在省考试院公众号里完成健康上报，这类考生主要以填报</w:t>
      </w:r>
      <w:r>
        <w:rPr>
          <w:rFonts w:ascii="Times New Roman" w:hAnsi="Times New Roman" w:cs="Times New Roman"/>
          <w:bCs/>
          <w:sz w:val="32"/>
          <w:szCs w:val="32"/>
        </w:rPr>
        <w:t>附件一的信息作为健康申报</w:t>
      </w:r>
      <w:r>
        <w:rPr>
          <w:rFonts w:ascii="Times New Roman" w:hAnsi="Times New Roman" w:cs="Times New Roman"/>
          <w:sz w:val="32"/>
          <w:szCs w:val="32"/>
        </w:rPr>
        <w:t>。请上述考生本次考试成绩公布后及时前往所在地市自学考试办公室办理合并准考证号或修改身份证信息。</w:t>
      </w:r>
    </w:p>
    <w:p>
      <w:pPr>
        <w:snapToGrid w:val="0"/>
        <w:spacing w:line="500" w:lineRule="exact"/>
        <w:rPr>
          <w:rFonts w:eastAsia="黑体"/>
          <w:sz w:val="32"/>
          <w:szCs w:val="32"/>
          <w:shd w:val="clear" w:color="auto" w:fill="FFFFFF"/>
        </w:rPr>
      </w:pPr>
    </w:p>
    <w:p>
      <w:pPr>
        <w:snapToGrid w:val="0"/>
        <w:spacing w:line="500" w:lineRule="exact"/>
        <w:rPr>
          <w:rFonts w:eastAsia="黑体"/>
          <w:sz w:val="32"/>
          <w:szCs w:val="32"/>
          <w:shd w:val="clear" w:color="auto" w:fill="FFFFFF"/>
        </w:rPr>
        <w:sectPr>
          <w:footerReference r:id="rId3" w:type="default"/>
          <w:pgSz w:w="11906" w:h="16838"/>
          <w:pgMar w:top="1474" w:right="1474" w:bottom="1474" w:left="1474" w:header="851" w:footer="992" w:gutter="0"/>
          <w:cols w:space="720" w:num="1"/>
          <w:docGrid w:type="lines" w:linePitch="312" w:charSpace="0"/>
        </w:sectPr>
      </w:pPr>
    </w:p>
    <w:p>
      <w:pPr>
        <w:rPr>
          <w:rFonts w:eastAsia="黑体"/>
          <w:sz w:val="28"/>
          <w:szCs w:val="28"/>
          <w:shd w:val="clear" w:color="auto" w:fill="FFFFFF"/>
        </w:rPr>
      </w:pPr>
      <w:r>
        <w:rPr>
          <w:rFonts w:eastAsia="黑体"/>
          <w:sz w:val="28"/>
          <w:szCs w:val="28"/>
          <w:shd w:val="clear" w:color="auto" w:fill="FFFFFF"/>
        </w:rPr>
        <w:t>附件</w:t>
      </w:r>
      <w:r>
        <w:rPr>
          <w:rFonts w:hint="eastAsia" w:eastAsia="黑体"/>
          <w:sz w:val="28"/>
          <w:szCs w:val="28"/>
          <w:shd w:val="clear" w:color="auto" w:fill="FFFFFF"/>
        </w:rPr>
        <w:t>5</w:t>
      </w:r>
      <w:r>
        <w:rPr>
          <w:rFonts w:eastAsia="黑体"/>
          <w:sz w:val="28"/>
          <w:szCs w:val="28"/>
          <w:shd w:val="clear" w:color="auto" w:fill="FFFFFF"/>
        </w:rPr>
        <w:t>—2</w:t>
      </w:r>
    </w:p>
    <w:p>
      <w:pPr>
        <w:spacing w:line="500" w:lineRule="exact"/>
        <w:jc w:val="center"/>
        <w:rPr>
          <w:rFonts w:eastAsia="方正小标宋简体"/>
          <w:sz w:val="40"/>
          <w:szCs w:val="44"/>
        </w:rPr>
      </w:pPr>
    </w:p>
    <w:p>
      <w:pPr>
        <w:spacing w:line="500" w:lineRule="exact"/>
        <w:jc w:val="center"/>
        <w:rPr>
          <w:rFonts w:eastAsia="方正小标宋简体"/>
          <w:sz w:val="28"/>
          <w:szCs w:val="32"/>
        </w:rPr>
      </w:pPr>
      <w:r>
        <w:rPr>
          <w:rFonts w:eastAsia="方正小标宋简体"/>
          <w:sz w:val="40"/>
          <w:szCs w:val="44"/>
        </w:rPr>
        <w:t>广东省2023年1月自学考试健康信息申报表</w:t>
      </w:r>
    </w:p>
    <w:p>
      <w:pPr>
        <w:snapToGrid w:val="0"/>
        <w:spacing w:line="500" w:lineRule="exact"/>
        <w:jc w:val="left"/>
        <w:rPr>
          <w:rFonts w:eastAsia="黑体"/>
          <w:sz w:val="24"/>
          <w:u w:val="single"/>
        </w:rPr>
      </w:pPr>
      <w:r>
        <w:rPr>
          <w:rFonts w:hint="eastAsia" w:eastAsia="黑体"/>
          <w:sz w:val="24"/>
        </w:rPr>
        <w:t xml:space="preserve">        </w:t>
      </w:r>
      <w:r>
        <w:rPr>
          <w:rFonts w:eastAsia="黑体"/>
          <w:sz w:val="24"/>
        </w:rPr>
        <w:t>姓名（签名）：</w:t>
      </w:r>
      <w:r>
        <w:rPr>
          <w:rFonts w:hint="eastAsia" w:eastAsia="黑体"/>
          <w:sz w:val="24"/>
        </w:rPr>
        <w:t xml:space="preserve">                           </w:t>
      </w:r>
      <w:r>
        <w:rPr>
          <w:rFonts w:eastAsia="黑体"/>
          <w:sz w:val="24"/>
        </w:rPr>
        <w:t>身份证号码：</w:t>
      </w:r>
    </w:p>
    <w:p>
      <w:pPr>
        <w:snapToGrid w:val="0"/>
        <w:spacing w:line="500" w:lineRule="exact"/>
        <w:jc w:val="left"/>
        <w:rPr>
          <w:rFonts w:eastAsia="黑体"/>
          <w:sz w:val="24"/>
          <w:u w:val="single"/>
        </w:rPr>
      </w:pPr>
      <w:r>
        <w:rPr>
          <w:rFonts w:hint="eastAsia" w:eastAsia="黑体"/>
          <w:sz w:val="24"/>
        </w:rPr>
        <w:t xml:space="preserve">        </w:t>
      </w:r>
      <w:r>
        <w:rPr>
          <w:rFonts w:eastAsia="黑体"/>
          <w:sz w:val="24"/>
        </w:rPr>
        <w:t>准考证号码：</w:t>
      </w:r>
      <w:r>
        <w:rPr>
          <w:rFonts w:hint="eastAsia" w:eastAsia="黑体"/>
          <w:sz w:val="24"/>
        </w:rPr>
        <w:t xml:space="preserve">                           </w:t>
      </w:r>
      <w:r>
        <w:rPr>
          <w:rFonts w:eastAsia="黑体"/>
          <w:sz w:val="24"/>
        </w:rPr>
        <w:t xml:space="preserve"> 联系电话：</w:t>
      </w:r>
    </w:p>
    <w:p>
      <w:pPr>
        <w:pStyle w:val="33"/>
      </w:pPr>
    </w:p>
    <w:tbl>
      <w:tblPr>
        <w:tblStyle w:val="11"/>
        <w:tblW w:w="8969" w:type="dxa"/>
        <w:jc w:val="center"/>
        <w:tblInd w:w="0" w:type="dxa"/>
        <w:tblLayout w:type="fixed"/>
        <w:tblCellMar>
          <w:top w:w="15" w:type="dxa"/>
          <w:left w:w="15" w:type="dxa"/>
          <w:bottom w:w="15" w:type="dxa"/>
          <w:right w:w="15" w:type="dxa"/>
        </w:tblCellMar>
      </w:tblPr>
      <w:tblGrid>
        <w:gridCol w:w="529"/>
        <w:gridCol w:w="1624"/>
        <w:gridCol w:w="631"/>
        <w:gridCol w:w="2220"/>
        <w:gridCol w:w="1236"/>
        <w:gridCol w:w="609"/>
        <w:gridCol w:w="2120"/>
      </w:tblGrid>
      <w:tr>
        <w:tblPrEx>
          <w:tblLayout w:type="fixed"/>
          <w:tblCellMar>
            <w:top w:w="15" w:type="dxa"/>
            <w:left w:w="15" w:type="dxa"/>
            <w:bottom w:w="15" w:type="dxa"/>
            <w:right w:w="15" w:type="dxa"/>
          </w:tblCellMar>
        </w:tblPrEx>
        <w:trPr>
          <w:trHeight w:val="646" w:hRule="atLeast"/>
          <w:tblHeader/>
          <w:jc w:val="center"/>
        </w:trPr>
        <w:tc>
          <w:tcPr>
            <w:tcW w:w="529" w:type="dxa"/>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黑体"/>
                <w:szCs w:val="20"/>
              </w:rPr>
            </w:pPr>
            <w:r>
              <w:rPr>
                <w:rFonts w:eastAsia="黑体"/>
                <w:kern w:val="0"/>
                <w:szCs w:val="20"/>
              </w:rPr>
              <w:t>序号</w:t>
            </w:r>
          </w:p>
        </w:tc>
        <w:tc>
          <w:tcPr>
            <w:tcW w:w="1624" w:type="dxa"/>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黑体"/>
                <w:szCs w:val="20"/>
              </w:rPr>
            </w:pPr>
            <w:r>
              <w:rPr>
                <w:rFonts w:eastAsia="黑体"/>
                <w:kern w:val="0"/>
                <w:szCs w:val="20"/>
              </w:rPr>
              <w:t>日期</w:t>
            </w:r>
          </w:p>
        </w:tc>
        <w:tc>
          <w:tcPr>
            <w:tcW w:w="285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黑体"/>
                <w:szCs w:val="20"/>
              </w:rPr>
            </w:pPr>
            <w:r>
              <w:rPr>
                <w:rFonts w:eastAsia="黑体"/>
                <w:kern w:val="0"/>
                <w:szCs w:val="20"/>
              </w:rPr>
              <w:t>健康信息</w:t>
            </w:r>
          </w:p>
        </w:tc>
        <w:tc>
          <w:tcPr>
            <w:tcW w:w="3965" w:type="dxa"/>
            <w:gridSpan w:val="3"/>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黑体"/>
                <w:szCs w:val="20"/>
              </w:rPr>
            </w:pPr>
            <w:r>
              <w:rPr>
                <w:rFonts w:eastAsia="黑体"/>
                <w:kern w:val="0"/>
                <w:szCs w:val="20"/>
              </w:rPr>
              <w:t>行程记录</w:t>
            </w:r>
          </w:p>
        </w:tc>
      </w:tr>
      <w:tr>
        <w:tblPrEx>
          <w:tblLayout w:type="fixed"/>
          <w:tblCellMar>
            <w:top w:w="15" w:type="dxa"/>
            <w:left w:w="15" w:type="dxa"/>
            <w:bottom w:w="15" w:type="dxa"/>
            <w:right w:w="15" w:type="dxa"/>
          </w:tblCellMar>
        </w:tblPrEx>
        <w:trPr>
          <w:trHeight w:val="646" w:hRule="atLeast"/>
          <w:tblHeader/>
          <w:jc w:val="center"/>
        </w:trPr>
        <w:tc>
          <w:tcPr>
            <w:tcW w:w="52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eastAsia="黑体"/>
                <w:szCs w:val="20"/>
              </w:rPr>
            </w:pPr>
          </w:p>
        </w:tc>
        <w:tc>
          <w:tcPr>
            <w:tcW w:w="1624"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eastAsia="黑体"/>
                <w:szCs w:val="20"/>
              </w:rPr>
            </w:pPr>
          </w:p>
        </w:tc>
        <w:tc>
          <w:tcPr>
            <w:tcW w:w="2851" w:type="dxa"/>
            <w:gridSpan w:val="2"/>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eastAsia="黑体"/>
                <w:szCs w:val="20"/>
              </w:rPr>
            </w:pP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黑体"/>
                <w:szCs w:val="20"/>
              </w:rPr>
            </w:pPr>
            <w:r>
              <w:rPr>
                <w:rFonts w:eastAsia="黑体"/>
                <w:color w:val="000000"/>
                <w:kern w:val="0"/>
                <w:szCs w:val="20"/>
              </w:rPr>
              <w:t>是否离开过广东省</w:t>
            </w:r>
          </w:p>
        </w:tc>
        <w:tc>
          <w:tcPr>
            <w:tcW w:w="2729" w:type="dxa"/>
            <w:gridSpan w:val="2"/>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黑体"/>
                <w:szCs w:val="20"/>
              </w:rPr>
            </w:pPr>
            <w:r>
              <w:rPr>
                <w:rFonts w:eastAsia="黑体"/>
                <w:kern w:val="0"/>
                <w:szCs w:val="20"/>
              </w:rPr>
              <w:t>是否去过疫情高风险地区</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1</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2022年12月30日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2</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2022年12月31日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3</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2023年1月1日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4</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2023年1月2日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5</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tabs>
                <w:tab w:val="left" w:pos="379"/>
                <w:tab w:val="center" w:pos="857"/>
              </w:tabs>
              <w:adjustRightInd w:val="0"/>
              <w:snapToGrid w:val="0"/>
              <w:jc w:val="center"/>
              <w:textAlignment w:val="center"/>
              <w:rPr>
                <w:rFonts w:eastAsia="仿宋_GB2312"/>
                <w:sz w:val="20"/>
                <w:szCs w:val="20"/>
              </w:rPr>
            </w:pPr>
            <w:r>
              <w:rPr>
                <w:rFonts w:eastAsia="仿宋_GB2312"/>
                <w:kern w:val="0"/>
                <w:sz w:val="20"/>
                <w:szCs w:val="20"/>
              </w:rPr>
              <w:t>2023年1月3日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6</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2023年1月4日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7</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2023年1月5日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r>
        <w:tblPrEx>
          <w:tblLayout w:type="fixed"/>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hint="eastAsia" w:eastAsia="仿宋_GB2312"/>
                <w:kern w:val="0"/>
                <w:sz w:val="20"/>
                <w:szCs w:val="20"/>
              </w:rPr>
              <w:t>8</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2023年1月6日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□正常</w:t>
            </w:r>
          </w:p>
        </w:tc>
        <w:tc>
          <w:tcPr>
            <w:tcW w:w="22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eastAsia="仿宋_GB2312"/>
                <w:sz w:val="20"/>
                <w:szCs w:val="20"/>
              </w:rPr>
            </w:pPr>
            <w:r>
              <w:rPr>
                <w:rFonts w:eastAsia="仿宋_GB2312"/>
                <w:kern w:val="0"/>
                <w:sz w:val="20"/>
                <w:szCs w:val="20"/>
              </w:rPr>
              <w:t>□否</w:t>
            </w:r>
          </w:p>
        </w:tc>
        <w:tc>
          <w:tcPr>
            <w:tcW w:w="2120" w:type="dxa"/>
            <w:tcBorders>
              <w:top w:val="single" w:color="000000" w:sz="4" w:space="0"/>
              <w:left w:val="single" w:color="000000" w:sz="4" w:space="0"/>
              <w:bottom w:val="single" w:color="000000" w:sz="4" w:space="0"/>
              <w:right w:val="single" w:color="000000" w:sz="4" w:space="0"/>
            </w:tcBorders>
          </w:tcPr>
          <w:p>
            <w:pPr>
              <w:widowControl/>
              <w:adjustRightInd w:val="0"/>
              <w:snapToGrid w:val="0"/>
              <w:textAlignment w:val="center"/>
              <w:rPr>
                <w:rFonts w:eastAsia="仿宋_GB2312"/>
                <w:sz w:val="20"/>
                <w:szCs w:val="20"/>
              </w:rPr>
            </w:pPr>
            <w:r>
              <w:rPr>
                <w:rFonts w:eastAsia="仿宋_GB2312"/>
                <w:kern w:val="0"/>
                <w:sz w:val="20"/>
                <w:szCs w:val="20"/>
              </w:rPr>
              <w:t>□是；具体地点：</w:t>
            </w:r>
          </w:p>
        </w:tc>
      </w:tr>
    </w:tbl>
    <w:p>
      <w:pPr>
        <w:pStyle w:val="33"/>
        <w:snapToGrid w:val="0"/>
        <w:spacing w:line="360" w:lineRule="exact"/>
        <w:ind w:firstLine="0" w:firstLineChars="0"/>
        <w:jc w:val="left"/>
        <w:rPr>
          <w:rFonts w:eastAsia="仿宋_GB2312"/>
          <w:sz w:val="24"/>
        </w:rPr>
      </w:pPr>
      <w:r>
        <w:rPr>
          <w:rFonts w:eastAsia="仿宋_GB2312"/>
          <w:sz w:val="24"/>
        </w:rPr>
        <w:t>注：1.考生须确保本表信息的真实性和准确性，瞒报将承担相应的法律后果及责任。</w:t>
      </w:r>
    </w:p>
    <w:p>
      <w:pPr>
        <w:pStyle w:val="33"/>
        <w:wordWrap w:val="0"/>
        <w:snapToGrid w:val="0"/>
        <w:spacing w:line="360" w:lineRule="exact"/>
        <w:ind w:left="719" w:leftChars="228" w:hanging="240" w:hangingChars="100"/>
        <w:jc w:val="left"/>
      </w:pPr>
      <w:r>
        <w:rPr>
          <w:rFonts w:eastAsia="仿宋_GB2312"/>
          <w:sz w:val="24"/>
        </w:rPr>
        <w:t>2.请在相应的</w:t>
      </w:r>
      <w:r>
        <w:rPr>
          <w:kern w:val="0"/>
          <w:sz w:val="20"/>
          <w:szCs w:val="20"/>
        </w:rPr>
        <w:t>□内打√</w:t>
      </w:r>
      <w:r>
        <w:rPr>
          <w:rFonts w:eastAsia="仿宋_GB2312"/>
          <w:sz w:val="24"/>
        </w:rPr>
        <w:t>。如出现感冒样症状，喘憋、呼吸急促、恶心呕吐、腹泻，心慌、胸闷，结膜炎以及其他异常的须如实填写信息情况。</w:t>
      </w:r>
    </w:p>
    <w:p>
      <w:pPr>
        <w:wordWrap w:val="0"/>
        <w:adjustRightInd w:val="0"/>
        <w:snapToGrid w:val="0"/>
        <w:spacing w:line="360" w:lineRule="exact"/>
        <w:ind w:firstLine="480" w:firstLineChars="200"/>
        <w:jc w:val="left"/>
        <w:rPr>
          <w:rFonts w:eastAsia="仿宋_GB2312"/>
          <w:sz w:val="24"/>
        </w:rPr>
        <w:sectPr>
          <w:footerReference r:id="rId4" w:type="default"/>
          <w:footerReference r:id="rId5" w:type="even"/>
          <w:pgSz w:w="11906" w:h="16838"/>
          <w:pgMar w:top="1247" w:right="851" w:bottom="1247" w:left="567" w:header="454" w:footer="221" w:gutter="0"/>
          <w:pgNumType w:fmt="numberInDash"/>
          <w:cols w:space="425" w:num="1"/>
          <w:docGrid w:type="lines" w:linePitch="312" w:charSpace="0"/>
        </w:sectPr>
      </w:pPr>
      <w:r>
        <w:rPr>
          <w:rFonts w:eastAsia="仿宋_GB2312"/>
          <w:sz w:val="24"/>
        </w:rPr>
        <w:t>3.考生应自行填写、打印本表，进入每场考试的考点时，均须向考点工作人员提交本表。</w:t>
      </w:r>
    </w:p>
    <w:p>
      <w:pPr>
        <w:widowControl/>
        <w:jc w:val="left"/>
        <w:textAlignment w:val="center"/>
        <w:rPr>
          <w:rFonts w:ascii="仿宋_GB2312" w:hAnsi="仿宋_GB2312" w:eastAsia="仿宋_GB2312" w:cs="仿宋_GB2312"/>
          <w:sz w:val="32"/>
          <w:szCs w:val="32"/>
        </w:rPr>
      </w:pPr>
    </w:p>
    <w:p>
      <w:pPr>
        <w:spacing w:line="500" w:lineRule="exact"/>
        <w:jc w:val="left"/>
        <w:rPr>
          <w:rFonts w:eastAsia="黑体"/>
          <w:color w:val="000000"/>
          <w:kern w:val="0"/>
          <w:sz w:val="28"/>
          <w:szCs w:val="28"/>
        </w:rPr>
      </w:pPr>
      <w:r>
        <w:rPr>
          <w:rFonts w:eastAsia="黑体"/>
          <w:color w:val="000000"/>
          <w:kern w:val="0"/>
          <w:sz w:val="28"/>
          <w:szCs w:val="28"/>
        </w:rPr>
        <w:t>附件</w:t>
      </w:r>
      <w:r>
        <w:rPr>
          <w:rFonts w:hint="eastAsia" w:eastAsia="黑体"/>
          <w:color w:val="000000"/>
          <w:kern w:val="0"/>
          <w:sz w:val="28"/>
          <w:szCs w:val="28"/>
        </w:rPr>
        <w:t>6</w:t>
      </w:r>
    </w:p>
    <w:p>
      <w:pPr>
        <w:spacing w:line="500" w:lineRule="exact"/>
        <w:jc w:val="center"/>
        <w:rPr>
          <w:rFonts w:eastAsia="方正小标宋简体"/>
          <w:color w:val="000000"/>
          <w:kern w:val="0"/>
          <w:sz w:val="44"/>
          <w:szCs w:val="44"/>
        </w:rPr>
      </w:pPr>
      <w:r>
        <w:rPr>
          <w:rFonts w:eastAsia="方正小标宋简体"/>
          <w:color w:val="000000"/>
          <w:kern w:val="0"/>
          <w:sz w:val="32"/>
          <w:szCs w:val="32"/>
        </w:rPr>
        <w:t>2023年1月广东省自学考试各专业开考课程考试时间安排表</w:t>
      </w:r>
    </w:p>
    <w:tbl>
      <w:tblPr>
        <w:tblStyle w:val="11"/>
        <w:tblW w:w="15360" w:type="dxa"/>
        <w:jc w:val="center"/>
        <w:tblInd w:w="0" w:type="dxa"/>
        <w:tblLayout w:type="fixed"/>
        <w:tblCellMar>
          <w:top w:w="15" w:type="dxa"/>
          <w:left w:w="15" w:type="dxa"/>
          <w:bottom w:w="15" w:type="dxa"/>
          <w:right w:w="15" w:type="dxa"/>
        </w:tblCellMar>
      </w:tblPr>
      <w:tblGrid>
        <w:gridCol w:w="1470"/>
        <w:gridCol w:w="1552"/>
        <w:gridCol w:w="842"/>
        <w:gridCol w:w="2225"/>
        <w:gridCol w:w="842"/>
        <w:gridCol w:w="2223"/>
        <w:gridCol w:w="842"/>
        <w:gridCol w:w="2301"/>
        <w:gridCol w:w="765"/>
        <w:gridCol w:w="2298"/>
      </w:tblGrid>
      <w:tr>
        <w:tblPrEx>
          <w:tblLayout w:type="fixed"/>
          <w:tblCellMar>
            <w:top w:w="15" w:type="dxa"/>
            <w:left w:w="15" w:type="dxa"/>
            <w:bottom w:w="15" w:type="dxa"/>
            <w:right w:w="15" w:type="dxa"/>
          </w:tblCellMar>
        </w:tblPrEx>
        <w:trPr>
          <w:trHeight w:val="160" w:hRule="atLeast"/>
          <w:tblHeader/>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专业代码及名称</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专业建设主考学校</w:t>
            </w:r>
            <w:r>
              <w:rPr>
                <w:rFonts w:eastAsia="黑体"/>
                <w:color w:val="000000"/>
                <w:kern w:val="0"/>
                <w:sz w:val="16"/>
                <w:szCs w:val="16"/>
              </w:rPr>
              <w:br w:type="textWrapping"/>
            </w:r>
            <w:r>
              <w:rPr>
                <w:rFonts w:eastAsia="黑体"/>
                <w:color w:val="000000"/>
                <w:kern w:val="0"/>
                <w:sz w:val="16"/>
                <w:szCs w:val="16"/>
              </w:rPr>
              <w:t>（专业课程组）</w:t>
            </w:r>
          </w:p>
        </w:tc>
        <w:tc>
          <w:tcPr>
            <w:tcW w:w="6132" w:type="dxa"/>
            <w:gridSpan w:val="4"/>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1 月 7 日</w:t>
            </w:r>
          </w:p>
        </w:tc>
        <w:tc>
          <w:tcPr>
            <w:tcW w:w="6206" w:type="dxa"/>
            <w:gridSpan w:val="4"/>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1 月 8 日</w:t>
            </w:r>
          </w:p>
        </w:tc>
      </w:tr>
      <w:tr>
        <w:tblPrEx>
          <w:tblLayout w:type="fixed"/>
          <w:tblCellMar>
            <w:top w:w="15" w:type="dxa"/>
            <w:left w:w="15" w:type="dxa"/>
            <w:bottom w:w="15" w:type="dxa"/>
            <w:right w:w="15" w:type="dxa"/>
          </w:tblCellMar>
        </w:tblPrEx>
        <w:trPr>
          <w:trHeight w:val="297" w:hRule="atLeast"/>
          <w:tblHeader/>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rFonts w:eastAsia="黑体"/>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rFonts w:eastAsia="黑体"/>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课程</w:t>
            </w:r>
            <w:r>
              <w:rPr>
                <w:rFonts w:eastAsia="黑体"/>
                <w:color w:val="000000"/>
                <w:kern w:val="0"/>
                <w:sz w:val="16"/>
                <w:szCs w:val="16"/>
              </w:rPr>
              <w:br w:type="textWrapping"/>
            </w:r>
            <w:r>
              <w:rPr>
                <w:rFonts w:eastAsia="黑体"/>
                <w:color w:val="000000"/>
                <w:kern w:val="0"/>
                <w:sz w:val="16"/>
                <w:szCs w:val="16"/>
              </w:rPr>
              <w:t>代码</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上午</w:t>
            </w:r>
            <w:r>
              <w:rPr>
                <w:rFonts w:eastAsia="黑体"/>
                <w:color w:val="000000"/>
                <w:kern w:val="0"/>
                <w:sz w:val="16"/>
                <w:szCs w:val="16"/>
              </w:rPr>
              <w:br w:type="textWrapping"/>
            </w:r>
            <w:r>
              <w:rPr>
                <w:rFonts w:eastAsia="黑体"/>
                <w:color w:val="000000"/>
                <w:kern w:val="0"/>
                <w:sz w:val="16"/>
                <w:szCs w:val="16"/>
              </w:rPr>
              <w:t xml:space="preserve"> 9:00 - 11:30</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课程</w:t>
            </w:r>
            <w:r>
              <w:rPr>
                <w:rFonts w:eastAsia="黑体"/>
                <w:color w:val="000000"/>
                <w:kern w:val="0"/>
                <w:sz w:val="16"/>
                <w:szCs w:val="16"/>
              </w:rPr>
              <w:br w:type="textWrapping"/>
            </w:r>
            <w:r>
              <w:rPr>
                <w:rFonts w:eastAsia="黑体"/>
                <w:color w:val="000000"/>
                <w:kern w:val="0"/>
                <w:sz w:val="16"/>
                <w:szCs w:val="16"/>
              </w:rPr>
              <w:t>代码</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下午</w:t>
            </w:r>
            <w:r>
              <w:rPr>
                <w:rFonts w:eastAsia="黑体"/>
                <w:color w:val="000000"/>
                <w:kern w:val="0"/>
                <w:sz w:val="16"/>
                <w:szCs w:val="16"/>
              </w:rPr>
              <w:br w:type="textWrapping"/>
            </w:r>
            <w:r>
              <w:rPr>
                <w:rFonts w:eastAsia="黑体"/>
                <w:color w:val="000000"/>
                <w:kern w:val="0"/>
                <w:sz w:val="16"/>
                <w:szCs w:val="16"/>
              </w:rPr>
              <w:t xml:space="preserve"> 14:30 - 17:00</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课程</w:t>
            </w:r>
            <w:r>
              <w:rPr>
                <w:rFonts w:eastAsia="黑体"/>
                <w:color w:val="000000"/>
                <w:kern w:val="0"/>
                <w:sz w:val="16"/>
                <w:szCs w:val="16"/>
              </w:rPr>
              <w:br w:type="textWrapping"/>
            </w:r>
            <w:r>
              <w:rPr>
                <w:rFonts w:eastAsia="黑体"/>
                <w:color w:val="000000"/>
                <w:kern w:val="0"/>
                <w:sz w:val="16"/>
                <w:szCs w:val="16"/>
              </w:rPr>
              <w:t>代码</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上午</w:t>
            </w:r>
            <w:r>
              <w:rPr>
                <w:rFonts w:eastAsia="黑体"/>
                <w:color w:val="000000"/>
                <w:kern w:val="0"/>
                <w:sz w:val="16"/>
                <w:szCs w:val="16"/>
              </w:rPr>
              <w:br w:type="textWrapping"/>
            </w:r>
            <w:r>
              <w:rPr>
                <w:rFonts w:eastAsia="黑体"/>
                <w:color w:val="000000"/>
                <w:kern w:val="0"/>
                <w:sz w:val="16"/>
                <w:szCs w:val="16"/>
              </w:rPr>
              <w:t xml:space="preserve"> 9:00 - 11:30</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课程</w:t>
            </w:r>
            <w:r>
              <w:rPr>
                <w:rFonts w:eastAsia="黑体"/>
                <w:color w:val="000000"/>
                <w:kern w:val="0"/>
                <w:sz w:val="16"/>
                <w:szCs w:val="16"/>
              </w:rPr>
              <w:br w:type="textWrapping"/>
            </w:r>
            <w:r>
              <w:rPr>
                <w:rFonts w:eastAsia="黑体"/>
                <w:color w:val="000000"/>
                <w:kern w:val="0"/>
                <w:sz w:val="16"/>
                <w:szCs w:val="16"/>
              </w:rPr>
              <w:t>代码</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rFonts w:eastAsia="黑体"/>
                <w:color w:val="000000"/>
                <w:sz w:val="16"/>
                <w:szCs w:val="16"/>
              </w:rPr>
            </w:pPr>
            <w:r>
              <w:rPr>
                <w:rFonts w:eastAsia="黑体"/>
                <w:color w:val="000000"/>
                <w:kern w:val="0"/>
                <w:sz w:val="16"/>
                <w:szCs w:val="16"/>
              </w:rPr>
              <w:t>下午</w:t>
            </w:r>
            <w:r>
              <w:rPr>
                <w:rFonts w:eastAsia="黑体"/>
                <w:color w:val="000000"/>
                <w:kern w:val="0"/>
                <w:sz w:val="16"/>
                <w:szCs w:val="16"/>
              </w:rPr>
              <w:br w:type="textWrapping"/>
            </w:r>
            <w:r>
              <w:rPr>
                <w:rFonts w:eastAsia="黑体"/>
                <w:color w:val="000000"/>
                <w:kern w:val="0"/>
                <w:sz w:val="16"/>
                <w:szCs w:val="16"/>
              </w:rPr>
              <w:t xml:space="preserve"> 14:30 - 17:00</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020202</w:t>
            </w:r>
            <w:r>
              <w:rPr>
                <w:b/>
                <w:bCs/>
                <w:color w:val="000000"/>
                <w:kern w:val="0"/>
                <w:sz w:val="16"/>
                <w:szCs w:val="16"/>
              </w:rPr>
              <w:br w:type="textWrapping"/>
            </w:r>
            <w:r>
              <w:rPr>
                <w:b/>
                <w:bCs/>
                <w:color w:val="000000"/>
                <w:kern w:val="0"/>
                <w:sz w:val="16"/>
                <w:szCs w:val="16"/>
              </w:rPr>
              <w:t>税收学#</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00069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国际税收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03403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国有资产管理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00062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税收管理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00999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政府预算管理</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11389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财税史</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00068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外国财政</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020301K</w:t>
            </w:r>
            <w:r>
              <w:rPr>
                <w:color w:val="000000"/>
                <w:kern w:val="0"/>
                <w:sz w:val="16"/>
                <w:szCs w:val="16"/>
              </w:rPr>
              <w:br w:type="textWrapping"/>
            </w:r>
            <w:r>
              <w:rPr>
                <w:color w:val="000000"/>
                <w:kern w:val="0"/>
                <w:sz w:val="16"/>
                <w:szCs w:val="16"/>
              </w:rPr>
              <w:t>金融学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华南农业大学</w:t>
            </w:r>
            <w:r>
              <w:rPr>
                <w:color w:val="000000"/>
                <w:kern w:val="0"/>
                <w:sz w:val="16"/>
                <w:szCs w:val="16"/>
              </w:rPr>
              <w:br w:type="textWrapping"/>
            </w:r>
            <w:r>
              <w:rPr>
                <w:color w:val="000000"/>
                <w:kern w:val="0"/>
                <w:sz w:val="16"/>
                <w:szCs w:val="16"/>
              </w:rPr>
              <w:t>暨南大学</w:t>
            </w:r>
            <w:r>
              <w:rPr>
                <w:color w:val="000000"/>
                <w:kern w:val="0"/>
                <w:sz w:val="16"/>
                <w:szCs w:val="16"/>
              </w:rPr>
              <w:br w:type="textWrapping"/>
            </w:r>
            <w:r>
              <w:rPr>
                <w:color w:val="000000"/>
                <w:kern w:val="0"/>
                <w:sz w:val="16"/>
                <w:szCs w:val="16"/>
              </w:rPr>
              <w:t>广东外语外贸大学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企业组织与经营环境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商务沟通方法与技能</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市场与市场营销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战略管理与伦理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会计原理与实务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管理数量方法与分析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国际商务金融</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企业成本管理会计</w:t>
            </w:r>
          </w:p>
        </w:tc>
      </w:tr>
      <w:tr>
        <w:tblPrEx>
          <w:tblLayout w:type="fixed"/>
          <w:tblCellMar>
            <w:top w:w="15" w:type="dxa"/>
            <w:left w:w="15" w:type="dxa"/>
            <w:bottom w:w="15" w:type="dxa"/>
            <w:right w:w="15" w:type="dxa"/>
          </w:tblCellMar>
        </w:tblPrEx>
        <w:trPr>
          <w:trHeight w:val="525"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金融管理综合应用</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020301K</w:t>
            </w:r>
            <w:r>
              <w:rPr>
                <w:color w:val="000000"/>
                <w:kern w:val="0"/>
                <w:sz w:val="16"/>
                <w:szCs w:val="16"/>
              </w:rPr>
              <w:br w:type="textWrapping"/>
            </w:r>
            <w:r>
              <w:rPr>
                <w:color w:val="000000"/>
                <w:kern w:val="0"/>
                <w:sz w:val="16"/>
                <w:szCs w:val="16"/>
              </w:rPr>
              <w:t>金融学</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（金融）</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00079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保险学原理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020301K</w:t>
            </w:r>
            <w:r>
              <w:rPr>
                <w:color w:val="000000"/>
                <w:kern w:val="0"/>
                <w:sz w:val="16"/>
                <w:szCs w:val="16"/>
              </w:rPr>
              <w:br w:type="textWrapping"/>
            </w:r>
            <w:r>
              <w:rPr>
                <w:color w:val="000000"/>
                <w:kern w:val="0"/>
                <w:sz w:val="16"/>
                <w:szCs w:val="16"/>
              </w:rPr>
              <w:t>金融学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（金融管理）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企业组织与经营环境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商务沟通方法与技能</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市场与市场营销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战略管理与伦理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会计原理与实务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管理数量方法与分析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国际商务金融</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企业成本管理会计</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11753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金融管理综合应用</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020301K</w:t>
            </w:r>
            <w:r>
              <w:rPr>
                <w:color w:val="000000"/>
                <w:kern w:val="0"/>
                <w:sz w:val="16"/>
                <w:szCs w:val="16"/>
              </w:rPr>
              <w:br w:type="textWrapping"/>
            </w:r>
            <w:r>
              <w:rPr>
                <w:color w:val="000000"/>
                <w:kern w:val="0"/>
                <w:sz w:val="16"/>
                <w:szCs w:val="16"/>
              </w:rPr>
              <w:t>金融学</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广东金融学院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00079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保险学原理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377"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020304</w:t>
            </w:r>
            <w:r>
              <w:rPr>
                <w:color w:val="000000"/>
                <w:kern w:val="0"/>
                <w:sz w:val="16"/>
                <w:szCs w:val="16"/>
              </w:rPr>
              <w:br w:type="textWrapping"/>
            </w:r>
            <w:r>
              <w:rPr>
                <w:color w:val="000000"/>
                <w:kern w:val="0"/>
                <w:sz w:val="16"/>
                <w:szCs w:val="16"/>
              </w:rPr>
              <w:t>投资学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广东工业大学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05175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税收筹划</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04762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金融学概论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08592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房地产投资</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08591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金融营销</w:t>
            </w:r>
          </w:p>
        </w:tc>
      </w:tr>
      <w:tr>
        <w:tblPrEx>
          <w:tblLayout w:type="fixed"/>
          <w:tblCellMar>
            <w:top w:w="15" w:type="dxa"/>
            <w:left w:w="15" w:type="dxa"/>
            <w:bottom w:w="15" w:type="dxa"/>
            <w:right w:w="15" w:type="dxa"/>
          </w:tblCellMar>
        </w:tblPrEx>
        <w:trPr>
          <w:trHeight w:val="473"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12326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金融理财分析技术与技巧</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07250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投资学原理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12327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金融理财规划</w:t>
            </w: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020401</w:t>
            </w:r>
            <w:r>
              <w:rPr>
                <w:color w:val="000000"/>
                <w:kern w:val="0"/>
                <w:sz w:val="16"/>
                <w:szCs w:val="16"/>
              </w:rPr>
              <w:br w:type="textWrapping"/>
            </w:r>
            <w:r>
              <w:rPr>
                <w:color w:val="000000"/>
                <w:kern w:val="0"/>
                <w:sz w:val="16"/>
                <w:szCs w:val="16"/>
              </w:rPr>
              <w:t>国际经济与贸易</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r>
              <w:rPr>
                <w:color w:val="000000"/>
                <w:kern w:val="0"/>
                <w:sz w:val="16"/>
                <w:szCs w:val="16"/>
              </w:rPr>
              <w:br w:type="textWrapping"/>
            </w:r>
            <w:r>
              <w:rPr>
                <w:color w:val="000000"/>
                <w:kern w:val="0"/>
                <w:sz w:val="16"/>
                <w:szCs w:val="16"/>
              </w:rPr>
              <w:t>广东工业大学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深圳大学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11465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现代公司管理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07788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国际结算</w:t>
            </w:r>
          </w:p>
        </w:tc>
      </w:tr>
      <w:tr>
        <w:tblPrEx>
          <w:tblLayout w:type="fixed"/>
          <w:tblCellMar>
            <w:top w:w="15" w:type="dxa"/>
            <w:left w:w="15" w:type="dxa"/>
            <w:bottom w:w="15" w:type="dxa"/>
            <w:right w:w="15" w:type="dxa"/>
          </w:tblCellMar>
        </w:tblPrEx>
        <w:trPr>
          <w:trHeight w:val="246"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030101K</w:t>
            </w:r>
            <w:r>
              <w:rPr>
                <w:color w:val="000000"/>
                <w:kern w:val="0"/>
                <w:sz w:val="16"/>
                <w:szCs w:val="16"/>
              </w:rPr>
              <w:br w:type="textWrapping"/>
            </w:r>
            <w:r>
              <w:rPr>
                <w:color w:val="000000"/>
                <w:kern w:val="0"/>
                <w:sz w:val="16"/>
                <w:szCs w:val="16"/>
              </w:rPr>
              <w:t>法学</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（法律）</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00229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证据法学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030302</w:t>
            </w:r>
            <w:r>
              <w:rPr>
                <w:color w:val="000000"/>
                <w:kern w:val="0"/>
                <w:sz w:val="16"/>
                <w:szCs w:val="16"/>
              </w:rPr>
              <w:br w:type="textWrapping"/>
            </w:r>
            <w:r>
              <w:rPr>
                <w:color w:val="000000"/>
                <w:kern w:val="0"/>
                <w:sz w:val="16"/>
                <w:szCs w:val="16"/>
              </w:rPr>
              <w:t>社会工作</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00278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社会统计学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00279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团体社会工作</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00276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人类成长与环境</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00281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社区社会工作</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00285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中国福利思想</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05963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绩效管理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00280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西方社会学理论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00282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个案社会工作</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03335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公共管理学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00283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社会行政</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03346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项目管理</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040101</w:t>
            </w:r>
            <w:r>
              <w:rPr>
                <w:color w:val="000000"/>
                <w:kern w:val="0"/>
                <w:sz w:val="16"/>
                <w:szCs w:val="16"/>
              </w:rPr>
              <w:br w:type="textWrapping"/>
            </w:r>
            <w:r>
              <w:rPr>
                <w:color w:val="000000"/>
                <w:kern w:val="0"/>
                <w:sz w:val="16"/>
                <w:szCs w:val="16"/>
              </w:rPr>
              <w:t>教育学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01281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中国教育史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教育学(二)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00471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认知心理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00448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学校管理学</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02018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数学教育学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01282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外国教育史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07824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语文教育学导论</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040105</w:t>
            </w:r>
            <w:r>
              <w:rPr>
                <w:b/>
                <w:bCs/>
                <w:color w:val="000000"/>
                <w:kern w:val="0"/>
                <w:sz w:val="16"/>
                <w:szCs w:val="16"/>
              </w:rPr>
              <w:br w:type="textWrapping"/>
            </w:r>
            <w:r>
              <w:rPr>
                <w:b/>
                <w:bCs/>
                <w:color w:val="000000"/>
                <w:kern w:val="0"/>
                <w:sz w:val="16"/>
                <w:szCs w:val="16"/>
              </w:rPr>
              <w:t>艺术教育#</w:t>
            </w:r>
            <w:r>
              <w:rPr>
                <w:b/>
                <w:bCs/>
                <w:color w:val="000000"/>
                <w:kern w:val="0"/>
                <w:sz w:val="16"/>
                <w:szCs w:val="16"/>
              </w:rPr>
              <w:br w:type="textWrapping"/>
            </w:r>
            <w:r>
              <w:rPr>
                <w:b/>
                <w:bCs/>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r>
              <w:rPr>
                <w:b/>
                <w:bCs/>
                <w:color w:val="000000"/>
                <w:kern w:val="0"/>
                <w:sz w:val="16"/>
                <w:szCs w:val="16"/>
              </w:rPr>
              <w:br w:type="textWrapping"/>
            </w:r>
            <w:r>
              <w:rPr>
                <w:b/>
                <w:bCs/>
                <w:color w:val="000000"/>
                <w:kern w:val="0"/>
                <w:sz w:val="16"/>
                <w:szCs w:val="16"/>
              </w:rPr>
              <w:t>（美术教育）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00747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美术教育学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11330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设计学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00745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中国画论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00744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美术鉴赏</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040105</w:t>
            </w:r>
            <w:r>
              <w:rPr>
                <w:b/>
                <w:bCs/>
                <w:color w:val="000000"/>
                <w:kern w:val="0"/>
                <w:sz w:val="16"/>
                <w:szCs w:val="16"/>
              </w:rPr>
              <w:br w:type="textWrapping"/>
            </w:r>
            <w:r>
              <w:rPr>
                <w:b/>
                <w:bCs/>
                <w:color w:val="000000"/>
                <w:kern w:val="0"/>
                <w:sz w:val="16"/>
                <w:szCs w:val="16"/>
              </w:rPr>
              <w:t>艺术教育#</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r>
              <w:rPr>
                <w:b/>
                <w:bCs/>
                <w:color w:val="000000"/>
                <w:kern w:val="0"/>
                <w:sz w:val="16"/>
                <w:szCs w:val="16"/>
              </w:rPr>
              <w:br w:type="textWrapping"/>
            </w:r>
            <w:r>
              <w:rPr>
                <w:b/>
                <w:bCs/>
                <w:color w:val="000000"/>
                <w:kern w:val="0"/>
                <w:sz w:val="16"/>
                <w:szCs w:val="16"/>
              </w:rPr>
              <w:t>（音乐教育）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06955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中国音乐史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04366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曲式与作品分析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11419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和声学(二)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00732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简明配器法</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11422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音乐作品欣赏(二)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11423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复调音乐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11421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外国音乐史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11427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歌曲作法(二)</w:t>
            </w:r>
          </w:p>
        </w:tc>
      </w:tr>
      <w:tr>
        <w:tblPrEx>
          <w:tblLayout w:type="fixed"/>
          <w:tblCellMar>
            <w:top w:w="15" w:type="dxa"/>
            <w:left w:w="15" w:type="dxa"/>
            <w:bottom w:w="15" w:type="dxa"/>
            <w:right w:w="15" w:type="dxa"/>
          </w:tblCellMar>
        </w:tblPrEx>
        <w:trPr>
          <w:trHeight w:val="297"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040106</w:t>
            </w:r>
            <w:r>
              <w:rPr>
                <w:color w:val="000000"/>
                <w:kern w:val="0"/>
                <w:sz w:val="16"/>
                <w:szCs w:val="16"/>
              </w:rPr>
              <w:br w:type="textWrapping"/>
            </w:r>
            <w:r>
              <w:rPr>
                <w:color w:val="000000"/>
                <w:kern w:val="0"/>
                <w:sz w:val="16"/>
                <w:szCs w:val="16"/>
              </w:rPr>
              <w:t>学前教育</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r>
              <w:rPr>
                <w:color w:val="000000"/>
                <w:kern w:val="0"/>
                <w:sz w:val="16"/>
                <w:szCs w:val="16"/>
              </w:rPr>
              <w:br w:type="textWrapping"/>
            </w:r>
            <w:r>
              <w:rPr>
                <w:color w:val="000000"/>
                <w:kern w:val="0"/>
                <w:sz w:val="16"/>
                <w:szCs w:val="16"/>
              </w:rPr>
              <w:t>广东第二师范学院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00403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学前儿童家庭教育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00886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学前儿童心理卫生与辅导</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学前教育学</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00881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学前教育科学研究与论文写作</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00883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学前特殊儿童教育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00887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儿童文学名著导读</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00399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学前游戏论</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00884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学前教育行政与管理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00885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学前教育诊断与咨询</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040201</w:t>
            </w:r>
            <w:r>
              <w:rPr>
                <w:color w:val="000000"/>
                <w:kern w:val="0"/>
                <w:sz w:val="16"/>
                <w:szCs w:val="16"/>
              </w:rPr>
              <w:br w:type="textWrapping"/>
            </w:r>
            <w:r>
              <w:rPr>
                <w:color w:val="000000"/>
                <w:kern w:val="0"/>
                <w:sz w:val="16"/>
                <w:szCs w:val="16"/>
              </w:rPr>
              <w:t>体育教育</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11123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社会体育学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00486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运动生理学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00497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运动训练学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00502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体育管理学</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11397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体育科研方法</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00501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体育史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06743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运动医学</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050101</w:t>
            </w:r>
            <w:r>
              <w:rPr>
                <w:color w:val="000000"/>
                <w:kern w:val="0"/>
                <w:sz w:val="16"/>
                <w:szCs w:val="16"/>
              </w:rPr>
              <w:br w:type="textWrapping"/>
            </w:r>
            <w:r>
              <w:rPr>
                <w:color w:val="000000"/>
                <w:kern w:val="0"/>
                <w:sz w:val="16"/>
                <w:szCs w:val="16"/>
              </w:rPr>
              <w:t>汉语言文学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00821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现代汉语语法研究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00814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中国古代文论选读</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07564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唐宋词研究</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文体写作</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民间文学概论</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050101</w:t>
            </w:r>
            <w:r>
              <w:rPr>
                <w:color w:val="000000"/>
                <w:kern w:val="0"/>
                <w:sz w:val="16"/>
                <w:szCs w:val="16"/>
              </w:rPr>
              <w:br w:type="textWrapping"/>
            </w:r>
            <w:r>
              <w:rPr>
                <w:color w:val="000000"/>
                <w:kern w:val="0"/>
                <w:sz w:val="16"/>
                <w:szCs w:val="16"/>
              </w:rPr>
              <w:t>汉语言文学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00821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现代汉语语法研究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00814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中国古代文论选读</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中国近代文学史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文体写作</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唐诗宋词研究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04579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中学语文教学法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11494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古代汉语(一)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近代汉语</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11495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古代汉语(二)</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11501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中国当代文学史</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050107T</w:t>
            </w:r>
            <w:r>
              <w:rPr>
                <w:b/>
                <w:bCs/>
                <w:color w:val="000000"/>
                <w:kern w:val="0"/>
                <w:sz w:val="16"/>
                <w:szCs w:val="16"/>
              </w:rPr>
              <w:br w:type="textWrapping"/>
            </w:r>
            <w:r>
              <w:rPr>
                <w:b/>
                <w:bCs/>
                <w:color w:val="000000"/>
                <w:kern w:val="0"/>
                <w:sz w:val="16"/>
                <w:szCs w:val="16"/>
              </w:rPr>
              <w:t>秘书学#</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08018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历代应用文选读</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07798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商品学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02182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文献检索</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07786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国际商务</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11516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国际商务谈判实务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08021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传播与广告</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08019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理财学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08022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秘书外事管理实务</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11348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商标管理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08020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商务秘书学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11599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国际商务法律</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050201</w:t>
            </w:r>
            <w:r>
              <w:rPr>
                <w:color w:val="000000"/>
                <w:kern w:val="0"/>
                <w:sz w:val="16"/>
                <w:szCs w:val="16"/>
              </w:rPr>
              <w:br w:type="textWrapping"/>
            </w:r>
            <w:r>
              <w:rPr>
                <w:color w:val="000000"/>
                <w:kern w:val="0"/>
                <w:sz w:val="16"/>
                <w:szCs w:val="16"/>
              </w:rPr>
              <w:t>英语</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第二外语(日语)</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050201</w:t>
            </w:r>
            <w:r>
              <w:rPr>
                <w:color w:val="000000"/>
                <w:kern w:val="0"/>
                <w:sz w:val="16"/>
                <w:szCs w:val="16"/>
              </w:rPr>
              <w:br w:type="textWrapping"/>
            </w:r>
            <w:r>
              <w:rPr>
                <w:color w:val="000000"/>
                <w:kern w:val="0"/>
                <w:sz w:val="16"/>
                <w:szCs w:val="16"/>
              </w:rPr>
              <w:t>英语</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07374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高级英语(一)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第二外语(法语)</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11416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翻译</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第二外语(日语)</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10101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美国文学选读</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05187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中学英语教学法(小教)</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11487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基础英语(一)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10100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英国文学选读</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11489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基础英语(三)</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06422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英语语言学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11497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高级英语(二)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10876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英美报刊选读</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11499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英语论文写作</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11488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基础英语(二)</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11500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外语教学心理学</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050207</w:t>
            </w:r>
            <w:r>
              <w:rPr>
                <w:color w:val="000000"/>
                <w:kern w:val="0"/>
                <w:sz w:val="16"/>
                <w:szCs w:val="16"/>
              </w:rPr>
              <w:br w:type="textWrapping"/>
            </w:r>
            <w:r>
              <w:rPr>
                <w:color w:val="000000"/>
                <w:kern w:val="0"/>
                <w:sz w:val="16"/>
                <w:szCs w:val="16"/>
              </w:rPr>
              <w:t>日语</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r>
              <w:rPr>
                <w:color w:val="000000"/>
                <w:kern w:val="0"/>
                <w:sz w:val="16"/>
                <w:szCs w:val="16"/>
              </w:rPr>
              <w:br w:type="textWrapping"/>
            </w: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日语翻译</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日语阅读(二)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高级日语(一)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00612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日本文学选读</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基础日语(二)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05443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日本社会文化</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00610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高级日语(二)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第二外语(英语)</w:t>
            </w:r>
          </w:p>
        </w:tc>
      </w:tr>
      <w:tr>
        <w:tblPrEx>
          <w:tblLayout w:type="fixed"/>
          <w:tblCellMar>
            <w:top w:w="15" w:type="dxa"/>
            <w:left w:w="15" w:type="dxa"/>
            <w:bottom w:w="15" w:type="dxa"/>
            <w:right w:w="15" w:type="dxa"/>
          </w:tblCellMar>
        </w:tblPrEx>
        <w:trPr>
          <w:trHeight w:val="326"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00611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日语句法篇章法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日语写作</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05442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日语语言学</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050262</w:t>
            </w:r>
            <w:r>
              <w:rPr>
                <w:color w:val="000000"/>
                <w:kern w:val="0"/>
                <w:sz w:val="16"/>
                <w:szCs w:val="16"/>
              </w:rPr>
              <w:br w:type="textWrapping"/>
            </w:r>
            <w:r>
              <w:rPr>
                <w:color w:val="000000"/>
                <w:kern w:val="0"/>
                <w:sz w:val="16"/>
                <w:szCs w:val="16"/>
              </w:rPr>
              <w:t>商务英语</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05355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商务英语翻译</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05439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商务英语阅读</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05440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商务英语写作</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第二外语(日语)</w:t>
            </w:r>
          </w:p>
        </w:tc>
      </w:tr>
      <w:tr>
        <w:tblPrEx>
          <w:tblLayout w:type="fixed"/>
          <w:tblCellMar>
            <w:top w:w="15" w:type="dxa"/>
            <w:left w:w="15" w:type="dxa"/>
            <w:bottom w:w="15" w:type="dxa"/>
            <w:right w:w="15" w:type="dxa"/>
          </w:tblCellMar>
        </w:tblPrEx>
        <w:trPr>
          <w:trHeight w:val="376"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050303</w:t>
            </w:r>
            <w:r>
              <w:rPr>
                <w:color w:val="000000"/>
                <w:kern w:val="0"/>
                <w:sz w:val="16"/>
                <w:szCs w:val="16"/>
              </w:rPr>
              <w:br w:type="textWrapping"/>
            </w:r>
            <w:r>
              <w:rPr>
                <w:color w:val="000000"/>
                <w:kern w:val="0"/>
                <w:sz w:val="16"/>
                <w:szCs w:val="16"/>
              </w:rPr>
              <w:t>广告学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广告法规与管理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广播电视广告</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中外广告史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广告策划</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00850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广告设计基础</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00640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平面广告设计</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080202</w:t>
            </w:r>
            <w:r>
              <w:rPr>
                <w:color w:val="000000"/>
                <w:kern w:val="0"/>
                <w:sz w:val="16"/>
                <w:szCs w:val="16"/>
              </w:rPr>
              <w:br w:type="textWrapping"/>
            </w:r>
            <w:r>
              <w:rPr>
                <w:color w:val="000000"/>
                <w:kern w:val="0"/>
                <w:sz w:val="16"/>
                <w:szCs w:val="16"/>
              </w:rPr>
              <w:t>机械设计制造及其自动化</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广东技术师范大学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01094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机械原理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01095</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机械设计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02209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机械制造装备设计</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01097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几何量公差与检测</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01099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机械制造技术基础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01100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计算机辅助工程软件(UG)</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03395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数控机床故障诊断与维护</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01457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企业应用文写作</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01102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机电传动与控制技术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01891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车身工程应用数学基础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03631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液压与气压传动</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03122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电子信息技术</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05785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数控原理与数控技术运用</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080208</w:t>
            </w:r>
            <w:r>
              <w:rPr>
                <w:b/>
                <w:bCs/>
                <w:color w:val="000000"/>
                <w:kern w:val="0"/>
                <w:sz w:val="16"/>
                <w:szCs w:val="16"/>
              </w:rPr>
              <w:br w:type="textWrapping"/>
            </w:r>
            <w:r>
              <w:rPr>
                <w:b/>
                <w:bCs/>
                <w:color w:val="000000"/>
                <w:kern w:val="0"/>
                <w:sz w:val="16"/>
                <w:szCs w:val="16"/>
              </w:rPr>
              <w:t>汽车服务工程#</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华南理工大学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01832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机械测试技术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04912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汽车电子控制技术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05838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汽车故障分析</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03483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发动机原理</w:t>
            </w:r>
          </w:p>
        </w:tc>
      </w:tr>
      <w:tr>
        <w:tblPrEx>
          <w:tblLayout w:type="fixed"/>
          <w:tblCellMar>
            <w:top w:w="15" w:type="dxa"/>
            <w:left w:w="15" w:type="dxa"/>
            <w:bottom w:w="15" w:type="dxa"/>
            <w:right w:w="15" w:type="dxa"/>
          </w:tblCellMar>
        </w:tblPrEx>
        <w:trPr>
          <w:trHeight w:val="59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06893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汽车构造</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05913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汽车维修技术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08518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汽车安全检测技术</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06898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汽车运用工程</w:t>
            </w:r>
          </w:p>
        </w:tc>
      </w:tr>
      <w:tr>
        <w:tblPrEx>
          <w:tblLayout w:type="fixed"/>
          <w:tblCellMar>
            <w:top w:w="15" w:type="dxa"/>
            <w:left w:w="15" w:type="dxa"/>
            <w:bottom w:w="15" w:type="dxa"/>
            <w:right w:w="15" w:type="dxa"/>
          </w:tblCellMar>
        </w:tblPrEx>
        <w:trPr>
          <w:trHeight w:val="297"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080801</w:t>
            </w:r>
            <w:r>
              <w:rPr>
                <w:b/>
                <w:bCs/>
                <w:color w:val="000000"/>
                <w:kern w:val="0"/>
                <w:sz w:val="16"/>
                <w:szCs w:val="16"/>
              </w:rPr>
              <w:br w:type="textWrapping"/>
            </w:r>
            <w:r>
              <w:rPr>
                <w:b/>
                <w:bCs/>
                <w:color w:val="000000"/>
                <w:kern w:val="0"/>
                <w:sz w:val="16"/>
                <w:szCs w:val="16"/>
              </w:rPr>
              <w:t>自动化#</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广东工业大学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02286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电力电子技术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02269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电工原理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02225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电机与拖动基础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02299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工业自动化仪表与过程控制</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02365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计算机软件基础(二)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02293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检测与转换技术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02297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电力拖动自动控制系统</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02358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单片机原理及应用</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04549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微机原理及应用</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02294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微机控制技术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04547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楼宇智能化技术</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02585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模拟电子技术基础</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08413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数据库原理与应用</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07961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工程数学(一)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11508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自动控制理论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11505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电力工程</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11514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电器与可编程控制器技术</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081001</w:t>
            </w:r>
            <w:r>
              <w:rPr>
                <w:color w:val="000000"/>
                <w:kern w:val="0"/>
                <w:sz w:val="16"/>
                <w:szCs w:val="16"/>
              </w:rPr>
              <w:br w:type="textWrapping"/>
            </w:r>
            <w:r>
              <w:rPr>
                <w:color w:val="000000"/>
                <w:kern w:val="0"/>
                <w:sz w:val="16"/>
                <w:szCs w:val="16"/>
              </w:rPr>
              <w:t>土木工程</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02394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房屋建筑学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08262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房地产开发与经营</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00174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建筑工程概论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06087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工程项目管理</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02655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建筑施工(二)</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081301</w:t>
            </w:r>
            <w:r>
              <w:rPr>
                <w:b/>
                <w:bCs/>
                <w:color w:val="000000"/>
                <w:kern w:val="0"/>
                <w:sz w:val="16"/>
                <w:szCs w:val="16"/>
              </w:rPr>
              <w:br w:type="textWrapping"/>
            </w:r>
            <w:r>
              <w:rPr>
                <w:b/>
                <w:bCs/>
                <w:color w:val="000000"/>
                <w:kern w:val="0"/>
                <w:sz w:val="16"/>
                <w:szCs w:val="16"/>
              </w:rPr>
              <w:t>化学工程与工艺#</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广东石油化工学院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02066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有机化学（二）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02489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化工设计概论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02064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无机及分析化学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09393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化工仪表及自动化</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水污染控制工程(一)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环境工程导论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05044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化学反应工程</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化学品安全管理</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04884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化工技术经济</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05048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石油炼制工程</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化工机械基础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精细有机合成化学与工艺学</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石油化工工艺学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化工产品检测技术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高分子化工基础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12322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腐蚀与防腐</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12318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加油加气站设计与管理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12320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石油储运概论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12321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石油产品应用技术</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081602</w:t>
            </w:r>
            <w:r>
              <w:rPr>
                <w:b/>
                <w:bCs/>
                <w:color w:val="000000"/>
                <w:kern w:val="0"/>
                <w:sz w:val="16"/>
                <w:szCs w:val="16"/>
              </w:rPr>
              <w:br w:type="textWrapping"/>
            </w:r>
            <w:r>
              <w:rPr>
                <w:b/>
                <w:bCs/>
                <w:color w:val="000000"/>
                <w:kern w:val="0"/>
                <w:sz w:val="16"/>
                <w:szCs w:val="16"/>
              </w:rPr>
              <w:t>服装设计与工程#</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华南农业大学</w:t>
            </w:r>
            <w:r>
              <w:rPr>
                <w:b/>
                <w:bCs/>
                <w:color w:val="000000"/>
                <w:kern w:val="0"/>
                <w:sz w:val="16"/>
                <w:szCs w:val="16"/>
              </w:rPr>
              <w:br w:type="textWrapping"/>
            </w:r>
            <w:r>
              <w:rPr>
                <w:b/>
                <w:bCs/>
                <w:color w:val="000000"/>
                <w:kern w:val="0"/>
                <w:sz w:val="16"/>
                <w:szCs w:val="16"/>
              </w:rPr>
              <w:t>惠州学院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西洋服装史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服装材料学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03911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服装国际贸易</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服装发展简史</w:t>
            </w:r>
          </w:p>
        </w:tc>
      </w:tr>
      <w:tr>
        <w:tblPrEx>
          <w:tblLayout w:type="fixed"/>
          <w:tblCellMar>
            <w:top w:w="15" w:type="dxa"/>
            <w:left w:w="15" w:type="dxa"/>
            <w:bottom w:w="15" w:type="dxa"/>
            <w:right w:w="15" w:type="dxa"/>
          </w:tblCellMar>
        </w:tblPrEx>
        <w:trPr>
          <w:trHeight w:val="33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03918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服饰流行分析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03916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服装消费心理学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03915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服装连锁店管理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03910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服装工业工程</w:t>
            </w:r>
          </w:p>
        </w:tc>
      </w:tr>
      <w:tr>
        <w:tblPrEx>
          <w:tblLayout w:type="fixed"/>
          <w:tblCellMar>
            <w:top w:w="15" w:type="dxa"/>
            <w:left w:w="15" w:type="dxa"/>
            <w:bottom w:w="15" w:type="dxa"/>
            <w:right w:w="15" w:type="dxa"/>
          </w:tblCellMar>
        </w:tblPrEx>
        <w:trPr>
          <w:trHeight w:val="338"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07541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服饰文化</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03919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服装市场调查与分析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03920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服装商品检验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03921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服装专业英语</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082504</w:t>
            </w:r>
            <w:r>
              <w:rPr>
                <w:b/>
                <w:bCs/>
                <w:color w:val="000000"/>
                <w:kern w:val="0"/>
                <w:sz w:val="16"/>
                <w:szCs w:val="16"/>
              </w:rPr>
              <w:br w:type="textWrapping"/>
            </w:r>
            <w:r>
              <w:rPr>
                <w:b/>
                <w:bCs/>
                <w:color w:val="000000"/>
                <w:kern w:val="0"/>
                <w:sz w:val="16"/>
                <w:szCs w:val="16"/>
              </w:rPr>
              <w:t>环境生态工程#</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华南农业大学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04518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环境化学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环境工程导论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02472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环境质量评价</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02471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环境生态学</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水污染控制工程(一)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04530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环境仪器分析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大气污染控制技术</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04519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固体废物管理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环境微生物学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05041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环境学原理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环境规划与管理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环境地学基础</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04528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城市生态与环境学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05580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环境保护</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06270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技术经济学</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100701</w:t>
            </w:r>
            <w:r>
              <w:rPr>
                <w:b/>
                <w:bCs/>
                <w:color w:val="000000"/>
                <w:kern w:val="0"/>
                <w:sz w:val="16"/>
                <w:szCs w:val="16"/>
              </w:rPr>
              <w:br w:type="textWrapping"/>
            </w:r>
            <w:r>
              <w:rPr>
                <w:b/>
                <w:bCs/>
                <w:color w:val="000000"/>
                <w:kern w:val="0"/>
                <w:sz w:val="16"/>
                <w:szCs w:val="16"/>
              </w:rPr>
              <w:t>药学#</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广东药科大学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01763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药事管理学(二)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02087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分子生物学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01757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药物分析(三)</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01761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药剂学(二)</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05522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有机化学(五)</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03049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数理统计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01759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药物化学(二)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02051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物理化学(二)</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06831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药理学(四)</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05524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药用植物与生药学</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120103</w:t>
            </w:r>
            <w:r>
              <w:rPr>
                <w:color w:val="000000"/>
                <w:kern w:val="0"/>
                <w:sz w:val="16"/>
                <w:szCs w:val="16"/>
              </w:rPr>
              <w:br w:type="textWrapping"/>
            </w:r>
            <w:r>
              <w:rPr>
                <w:color w:val="000000"/>
                <w:kern w:val="0"/>
                <w:sz w:val="16"/>
                <w:szCs w:val="16"/>
              </w:rPr>
              <w:t>工程管理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广州大学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03303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建筑力学与结构</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06962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工程造价确定与控制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04037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施工技术与组织</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06087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工程项目管理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03823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建筑制图</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08262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房地产开发与经营</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06936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建筑法规</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06289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工程招标与合同管理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08263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工程经济学与项目融资</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06393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土木工程概论</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120103</w:t>
            </w:r>
            <w:r>
              <w:rPr>
                <w:color w:val="000000"/>
                <w:kern w:val="0"/>
                <w:sz w:val="16"/>
                <w:szCs w:val="16"/>
              </w:rPr>
              <w:br w:type="textWrapping"/>
            </w:r>
            <w:r>
              <w:rPr>
                <w:color w:val="000000"/>
                <w:kern w:val="0"/>
                <w:sz w:val="16"/>
                <w:szCs w:val="16"/>
              </w:rPr>
              <w:t>工程管理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05060</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项目范围管理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05058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管理数量方法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04154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项目采购管理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05063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项目时间管理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05067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项目管理案例分析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05062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项目质量管理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05061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项目成本管理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05066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项目论证与评估</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09413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项目管理概论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项目人力资源与沟通管理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120105</w:t>
            </w:r>
            <w:r>
              <w:rPr>
                <w:color w:val="000000"/>
                <w:kern w:val="0"/>
                <w:sz w:val="16"/>
                <w:szCs w:val="16"/>
              </w:rPr>
              <w:br w:type="textWrapping"/>
            </w:r>
            <w:r>
              <w:rPr>
                <w:color w:val="000000"/>
                <w:kern w:val="0"/>
                <w:sz w:val="16"/>
                <w:szCs w:val="16"/>
              </w:rPr>
              <w:t>工程造价</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广东工业大学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04229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项目决策分析与评价</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03305</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城市规划原理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04231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建筑工程合同（含FIDIC）条款</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04228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建设工程工程量清单计价实务</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04230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建设监理导论</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120201K</w:t>
            </w:r>
            <w:r>
              <w:rPr>
                <w:color w:val="000000"/>
                <w:kern w:val="0"/>
                <w:sz w:val="16"/>
                <w:szCs w:val="16"/>
              </w:rPr>
              <w:br w:type="textWrapping"/>
            </w:r>
            <w:r>
              <w:rPr>
                <w:color w:val="000000"/>
                <w:kern w:val="0"/>
                <w:sz w:val="16"/>
                <w:szCs w:val="16"/>
              </w:rPr>
              <w:t>工商管理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企业组织与经营环境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商务沟通方法与技能</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市场与市场营销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战略管理与伦理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会计原理与实务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国际商务与国际营销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商务运营管理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管理学与人力资源管理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商务管理综合应用</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120201K</w:t>
            </w:r>
            <w:r>
              <w:rPr>
                <w:color w:val="000000"/>
                <w:kern w:val="0"/>
                <w:sz w:val="16"/>
                <w:szCs w:val="16"/>
              </w:rPr>
              <w:br w:type="textWrapping"/>
            </w:r>
            <w:r>
              <w:rPr>
                <w:color w:val="000000"/>
                <w:kern w:val="0"/>
                <w:sz w:val="16"/>
                <w:szCs w:val="16"/>
              </w:rPr>
              <w:t>工商管理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（商务管理）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企业组织与经营环境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商务沟通方法与技能</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市场与市场营销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战略管理与伦理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会计原理与实务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国际商务与国际营销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商务运营管理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管理学与人力资源管理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商务管理综合应用</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120201K</w:t>
            </w:r>
            <w:r>
              <w:rPr>
                <w:color w:val="000000"/>
                <w:kern w:val="0"/>
                <w:sz w:val="16"/>
                <w:szCs w:val="16"/>
              </w:rPr>
              <w:br w:type="textWrapping"/>
            </w:r>
            <w:r>
              <w:rPr>
                <w:color w:val="000000"/>
                <w:kern w:val="0"/>
                <w:sz w:val="16"/>
                <w:szCs w:val="16"/>
              </w:rPr>
              <w:t>工商管理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（现代企业管理）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08816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现代企业管理信息系统</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05171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中小企业战略管理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06092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工作分析</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08819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企业管理咨询与诊断</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企业内部控制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06093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人力资源开发与管理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07114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现代物流学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客户服务管理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团队管理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电子商务运营管理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销售业务管理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资本运营与融资</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120201K</w:t>
            </w:r>
            <w:r>
              <w:rPr>
                <w:color w:val="000000"/>
                <w:kern w:val="0"/>
                <w:sz w:val="16"/>
                <w:szCs w:val="16"/>
              </w:rPr>
              <w:br w:type="textWrapping"/>
            </w:r>
            <w:r>
              <w:rPr>
                <w:color w:val="000000"/>
                <w:kern w:val="0"/>
                <w:sz w:val="16"/>
                <w:szCs w:val="16"/>
              </w:rPr>
              <w:t>工商管理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r>
              <w:rPr>
                <w:color w:val="000000"/>
                <w:kern w:val="0"/>
                <w:sz w:val="16"/>
                <w:szCs w:val="16"/>
              </w:rPr>
              <w:br w:type="textWrapping"/>
            </w:r>
            <w:r>
              <w:rPr>
                <w:color w:val="000000"/>
                <w:kern w:val="0"/>
                <w:sz w:val="16"/>
                <w:szCs w:val="16"/>
              </w:rPr>
              <w:t>（商务管理）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企业组织与经营环境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商务沟通方法与技能</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市场与市场营销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战略管理与伦理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会计原理与实务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国际商务与国际营销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商务运营管理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管理学与人力资源管理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商务管理综合应用</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120201K</w:t>
            </w:r>
            <w:r>
              <w:rPr>
                <w:color w:val="000000"/>
                <w:kern w:val="0"/>
                <w:sz w:val="16"/>
                <w:szCs w:val="16"/>
              </w:rPr>
              <w:br w:type="textWrapping"/>
            </w:r>
            <w:r>
              <w:rPr>
                <w:color w:val="000000"/>
                <w:kern w:val="0"/>
                <w:sz w:val="16"/>
                <w:szCs w:val="16"/>
              </w:rPr>
              <w:t>工商管理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r>
              <w:rPr>
                <w:color w:val="000000"/>
                <w:kern w:val="0"/>
                <w:sz w:val="16"/>
                <w:szCs w:val="16"/>
              </w:rPr>
              <w:br w:type="textWrapping"/>
            </w:r>
            <w:r>
              <w:rPr>
                <w:color w:val="000000"/>
                <w:kern w:val="0"/>
                <w:sz w:val="16"/>
                <w:szCs w:val="16"/>
              </w:rPr>
              <w:t>（现代企业管理）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08816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现代企业管理信息系统</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05171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中小企业战略管理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06092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工作分析</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08819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企业管理咨询与诊断</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企业内部控制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06093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人力资源开发与管理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07114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现代物流学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客户服务管理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团队管理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电子商务运营管理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销售业务管理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10424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资本运营与融资</w:t>
            </w:r>
          </w:p>
        </w:tc>
      </w:tr>
      <w:tr>
        <w:tblPrEx>
          <w:tblLayout w:type="fixed"/>
          <w:tblCellMar>
            <w:top w:w="15" w:type="dxa"/>
            <w:left w:w="15" w:type="dxa"/>
            <w:bottom w:w="15" w:type="dxa"/>
            <w:right w:w="15" w:type="dxa"/>
          </w:tblCellMar>
        </w:tblPrEx>
        <w:trPr>
          <w:trHeight w:val="31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120201K</w:t>
            </w:r>
            <w:r>
              <w:rPr>
                <w:color w:val="000000"/>
                <w:kern w:val="0"/>
                <w:sz w:val="16"/>
                <w:szCs w:val="16"/>
              </w:rPr>
              <w:br w:type="textWrapping"/>
            </w:r>
            <w:r>
              <w:rPr>
                <w:color w:val="000000"/>
                <w:kern w:val="0"/>
                <w:sz w:val="16"/>
                <w:szCs w:val="16"/>
              </w:rPr>
              <w:t>工商管理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（商务管理）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企业组织与经营环境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商务沟通方法与技能</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市场与市场营销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战略管理与伦理</w:t>
            </w:r>
          </w:p>
        </w:tc>
      </w:tr>
      <w:tr>
        <w:tblPrEx>
          <w:tblLayout w:type="fixed"/>
          <w:tblCellMar>
            <w:top w:w="15" w:type="dxa"/>
            <w:left w:w="15" w:type="dxa"/>
            <w:bottom w:w="15" w:type="dxa"/>
            <w:right w:w="15" w:type="dxa"/>
          </w:tblCellMar>
        </w:tblPrEx>
        <w:trPr>
          <w:trHeight w:val="31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会计原理与实务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国际商务与国际营销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商务运营管理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管理学与人力资源管理</w:t>
            </w:r>
          </w:p>
        </w:tc>
      </w:tr>
      <w:tr>
        <w:tblPrEx>
          <w:tblLayout w:type="fixed"/>
          <w:tblCellMar>
            <w:top w:w="15" w:type="dxa"/>
            <w:left w:w="15" w:type="dxa"/>
            <w:bottom w:w="15" w:type="dxa"/>
            <w:right w:w="15" w:type="dxa"/>
          </w:tblCellMar>
        </w:tblPrEx>
        <w:trPr>
          <w:trHeight w:val="276"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11749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商务管理综合应用</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120202</w:t>
            </w:r>
            <w:r>
              <w:rPr>
                <w:color w:val="000000"/>
                <w:kern w:val="0"/>
                <w:sz w:val="16"/>
                <w:szCs w:val="16"/>
              </w:rPr>
              <w:br w:type="textWrapping"/>
            </w:r>
            <w:r>
              <w:rPr>
                <w:color w:val="000000"/>
                <w:kern w:val="0"/>
                <w:sz w:val="16"/>
                <w:szCs w:val="16"/>
              </w:rPr>
              <w:t>市场营销</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07072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企业形象设计(CIS)</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07353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管理学原理(一)</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120202</w:t>
            </w:r>
            <w:r>
              <w:rPr>
                <w:color w:val="000000"/>
                <w:kern w:val="0"/>
                <w:sz w:val="16"/>
                <w:szCs w:val="16"/>
              </w:rPr>
              <w:br w:type="textWrapping"/>
            </w:r>
            <w:r>
              <w:rPr>
                <w:color w:val="000000"/>
                <w:kern w:val="0"/>
                <w:sz w:val="16"/>
                <w:szCs w:val="16"/>
              </w:rPr>
              <w:t>市场营销</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（市场营销）</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07072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企业形象设计(CIS)</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07353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管理学原理(一)</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120203K</w:t>
            </w:r>
            <w:r>
              <w:rPr>
                <w:color w:val="000000"/>
                <w:kern w:val="0"/>
                <w:sz w:val="16"/>
                <w:szCs w:val="16"/>
              </w:rPr>
              <w:br w:type="textWrapping"/>
            </w:r>
            <w:r>
              <w:rPr>
                <w:color w:val="000000"/>
                <w:kern w:val="0"/>
                <w:sz w:val="16"/>
                <w:szCs w:val="16"/>
              </w:rPr>
              <w:t>会计学</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深圳大学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11399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面向对象数据库技术</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08674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计算机网络基础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03703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国际会计与审计准则</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02376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信息系统开发</w:t>
            </w:r>
          </w:p>
        </w:tc>
      </w:tr>
      <w:tr>
        <w:tblPrEx>
          <w:tblLayout w:type="fixed"/>
          <w:tblCellMar>
            <w:top w:w="15" w:type="dxa"/>
            <w:left w:w="15" w:type="dxa"/>
            <w:bottom w:w="15" w:type="dxa"/>
            <w:right w:w="15" w:type="dxa"/>
          </w:tblCellMar>
        </w:tblPrEx>
        <w:trPr>
          <w:trHeight w:val="169"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120203K</w:t>
            </w:r>
            <w:r>
              <w:rPr>
                <w:color w:val="000000"/>
                <w:kern w:val="0"/>
                <w:sz w:val="16"/>
                <w:szCs w:val="16"/>
              </w:rPr>
              <w:br w:type="textWrapping"/>
            </w:r>
            <w:r>
              <w:rPr>
                <w:color w:val="000000"/>
                <w:kern w:val="0"/>
                <w:sz w:val="16"/>
                <w:szCs w:val="16"/>
              </w:rPr>
              <w:t>会计学</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广东金融学院</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00974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统计学原理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微观经济学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03703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国际会计与审计准则</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293"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120203K</w:t>
            </w:r>
            <w:r>
              <w:rPr>
                <w:color w:val="000000"/>
                <w:kern w:val="0"/>
                <w:sz w:val="16"/>
                <w:szCs w:val="16"/>
              </w:rPr>
              <w:br w:type="textWrapping"/>
            </w:r>
            <w:r>
              <w:rPr>
                <w:color w:val="000000"/>
                <w:kern w:val="0"/>
                <w:sz w:val="16"/>
                <w:szCs w:val="16"/>
              </w:rPr>
              <w:t>会计学</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00974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统计学原理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00061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国家税收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03703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国际会计与审计准则</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00944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审计</w:t>
            </w:r>
          </w:p>
        </w:tc>
      </w:tr>
      <w:tr>
        <w:tblPrEx>
          <w:tblLayout w:type="fixed"/>
          <w:tblCellMar>
            <w:top w:w="15" w:type="dxa"/>
            <w:left w:w="15" w:type="dxa"/>
            <w:bottom w:w="15" w:type="dxa"/>
            <w:right w:w="15" w:type="dxa"/>
          </w:tblCellMar>
        </w:tblPrEx>
        <w:trPr>
          <w:trHeight w:val="326"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财务会计专题</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03702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会计制度设计与比较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财政与农村金融</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管理与成本会计</w:t>
            </w:r>
          </w:p>
        </w:tc>
      </w:tr>
      <w:tr>
        <w:tblPrEx>
          <w:tblLayout w:type="fixed"/>
          <w:tblCellMar>
            <w:top w:w="15" w:type="dxa"/>
            <w:left w:w="15" w:type="dxa"/>
            <w:bottom w:w="15" w:type="dxa"/>
            <w:right w:w="15" w:type="dxa"/>
          </w:tblCellMar>
        </w:tblPrEx>
        <w:trPr>
          <w:trHeight w:val="3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微观经济学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06069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审计学原理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06270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技术经济学</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120206</w:t>
            </w:r>
            <w:r>
              <w:rPr>
                <w:color w:val="000000"/>
                <w:kern w:val="0"/>
                <w:sz w:val="16"/>
                <w:szCs w:val="16"/>
              </w:rPr>
              <w:br w:type="textWrapping"/>
            </w:r>
            <w:r>
              <w:rPr>
                <w:color w:val="000000"/>
                <w:kern w:val="0"/>
                <w:sz w:val="16"/>
                <w:szCs w:val="16"/>
              </w:rPr>
              <w:t>人力资源管理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00294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劳动社会学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00324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人事管理学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00463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现代人员测评</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11468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工作岗位研究原理与应用</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11465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现代公司管理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07484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社会保障学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11467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人力资源统计学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11471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劳动争议处理概论</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11469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宏观劳动力配置</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11466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现代企业人力资源管理概论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11470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国际劳务合作和海外就业</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120401</w:t>
            </w:r>
            <w:r>
              <w:rPr>
                <w:b/>
                <w:bCs/>
                <w:color w:val="000000"/>
                <w:kern w:val="0"/>
                <w:sz w:val="16"/>
                <w:szCs w:val="16"/>
              </w:rPr>
              <w:br w:type="textWrapping"/>
            </w:r>
            <w:r>
              <w:rPr>
                <w:b/>
                <w:bCs/>
                <w:color w:val="000000"/>
                <w:kern w:val="0"/>
                <w:sz w:val="16"/>
                <w:szCs w:val="16"/>
              </w:rPr>
              <w:t>公共事业管理#</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暨南大学</w:t>
            </w:r>
            <w:r>
              <w:rPr>
                <w:b/>
                <w:bCs/>
                <w:color w:val="000000"/>
                <w:kern w:val="0"/>
                <w:sz w:val="16"/>
                <w:szCs w:val="16"/>
              </w:rPr>
              <w:br w:type="textWrapping"/>
            </w:r>
            <w:r>
              <w:rPr>
                <w:b/>
                <w:bCs/>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03335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公共管理学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05725</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文化管理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03331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公共事业管理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03312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劳动和社会保障概论</w:t>
            </w:r>
          </w:p>
        </w:tc>
      </w:tr>
      <w:tr>
        <w:tblPrEx>
          <w:tblLayout w:type="fixed"/>
          <w:tblCellMar>
            <w:top w:w="15" w:type="dxa"/>
            <w:left w:w="15" w:type="dxa"/>
            <w:bottom w:w="15" w:type="dxa"/>
            <w:right w:w="15" w:type="dxa"/>
          </w:tblCellMar>
        </w:tblPrEx>
        <w:trPr>
          <w:trHeight w:val="411"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05724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公共卫生管理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05726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国土资源管理</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120601</w:t>
            </w:r>
            <w:r>
              <w:rPr>
                <w:color w:val="000000"/>
                <w:kern w:val="0"/>
                <w:sz w:val="16"/>
                <w:szCs w:val="16"/>
              </w:rPr>
              <w:br w:type="textWrapping"/>
            </w:r>
            <w:r>
              <w:rPr>
                <w:color w:val="000000"/>
                <w:kern w:val="0"/>
                <w:sz w:val="16"/>
                <w:szCs w:val="16"/>
              </w:rPr>
              <w:t>物流管理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07006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供应链与企业物流管理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03361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企业物流</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03365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物流运输管理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03364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供应链物流学</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07724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物流系统工程</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07729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仓储技术和库存理论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07725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物流规划</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120603T</w:t>
            </w:r>
            <w:r>
              <w:rPr>
                <w:b/>
                <w:bCs/>
                <w:color w:val="000000"/>
                <w:kern w:val="0"/>
                <w:sz w:val="16"/>
                <w:szCs w:val="16"/>
              </w:rPr>
              <w:br w:type="textWrapping"/>
            </w:r>
            <w:r>
              <w:rPr>
                <w:b/>
                <w:bCs/>
                <w:color w:val="000000"/>
                <w:kern w:val="0"/>
                <w:sz w:val="16"/>
                <w:szCs w:val="16"/>
              </w:rPr>
              <w:t>采购管理#</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采购与供应关系管理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采购与供应谈判</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采购环境</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采购法务与合同管理</w:t>
            </w:r>
          </w:p>
        </w:tc>
      </w:tr>
      <w:tr>
        <w:tblPrEx>
          <w:tblLayout w:type="fixed"/>
          <w:tblCellMar>
            <w:top w:w="15" w:type="dxa"/>
            <w:left w:w="15" w:type="dxa"/>
            <w:bottom w:w="15" w:type="dxa"/>
            <w:right w:w="15" w:type="dxa"/>
          </w:tblCellMar>
        </w:tblPrEx>
        <w:trPr>
          <w:trHeight w:val="526"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采购与供应链案例</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03615</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采购绩效管理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采购项目管理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运作管理</w:t>
            </w:r>
          </w:p>
        </w:tc>
      </w:tr>
      <w:tr>
        <w:tblPrEx>
          <w:tblLayout w:type="fixed"/>
          <w:tblCellMar>
            <w:top w:w="15" w:type="dxa"/>
            <w:left w:w="15" w:type="dxa"/>
            <w:bottom w:w="15" w:type="dxa"/>
            <w:right w:w="15" w:type="dxa"/>
          </w:tblCellMar>
        </w:tblPrEx>
        <w:trPr>
          <w:trHeight w:val="873"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120801</w:t>
            </w:r>
            <w:r>
              <w:rPr>
                <w:color w:val="000000"/>
                <w:kern w:val="0"/>
                <w:sz w:val="16"/>
                <w:szCs w:val="16"/>
              </w:rPr>
              <w:br w:type="textWrapping"/>
            </w:r>
            <w:r>
              <w:rPr>
                <w:color w:val="000000"/>
                <w:kern w:val="0"/>
                <w:sz w:val="16"/>
                <w:szCs w:val="16"/>
              </w:rPr>
              <w:t>电子商务</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暨南大学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03339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信息化理论与实践</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120901K</w:t>
            </w:r>
            <w:r>
              <w:rPr>
                <w:color w:val="000000"/>
                <w:kern w:val="0"/>
                <w:sz w:val="16"/>
                <w:szCs w:val="16"/>
              </w:rPr>
              <w:br w:type="textWrapping"/>
            </w:r>
            <w:r>
              <w:rPr>
                <w:color w:val="000000"/>
                <w:kern w:val="0"/>
                <w:sz w:val="16"/>
                <w:szCs w:val="16"/>
              </w:rPr>
              <w:t>旅游管理</w:t>
            </w:r>
            <w:r>
              <w:rPr>
                <w:color w:val="000000"/>
                <w:kern w:val="0"/>
                <w:sz w:val="16"/>
                <w:szCs w:val="16"/>
              </w:rPr>
              <w:br w:type="textWrapping"/>
            </w:r>
            <w:r>
              <w:rPr>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11403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中国旅游文学作品选</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00187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00188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旅游心理学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04138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旅游文化</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11406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旅游资源开发与环境保护</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00191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旅行社经营与管理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03529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国际旅游饭店管理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11404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旅游饭店设备管理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18960</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礼仪学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05034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旅游地理学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旅游会计学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11405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美食与菜系</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国际旅游学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130502</w:t>
            </w:r>
            <w:r>
              <w:rPr>
                <w:color w:val="000000"/>
                <w:kern w:val="0"/>
                <w:sz w:val="16"/>
                <w:szCs w:val="16"/>
              </w:rPr>
              <w:br w:type="textWrapping"/>
            </w:r>
            <w:r>
              <w:rPr>
                <w:color w:val="000000"/>
                <w:kern w:val="0"/>
                <w:sz w:val="16"/>
                <w:szCs w:val="16"/>
              </w:rPr>
              <w:t>视觉传达设计</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广州美术学院</w:t>
            </w:r>
            <w:r>
              <w:rPr>
                <w:color w:val="000000"/>
                <w:kern w:val="0"/>
                <w:sz w:val="16"/>
                <w:szCs w:val="16"/>
              </w:rPr>
              <w:br w:type="textWrapping"/>
            </w:r>
            <w:r>
              <w:rPr>
                <w:color w:val="000000"/>
                <w:kern w:val="0"/>
                <w:sz w:val="16"/>
                <w:szCs w:val="16"/>
              </w:rPr>
              <w:t>广东工业大学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09235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04026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10177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设计基础</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708"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130503</w:t>
            </w:r>
            <w:r>
              <w:rPr>
                <w:color w:val="000000"/>
                <w:kern w:val="0"/>
                <w:sz w:val="16"/>
                <w:szCs w:val="16"/>
              </w:rPr>
              <w:br w:type="textWrapping"/>
            </w:r>
            <w:r>
              <w:rPr>
                <w:color w:val="000000"/>
                <w:kern w:val="0"/>
                <w:sz w:val="16"/>
                <w:szCs w:val="16"/>
              </w:rPr>
              <w:t>环境设计</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广州美术学院</w:t>
            </w:r>
            <w:r>
              <w:rPr>
                <w:color w:val="000000"/>
                <w:kern w:val="0"/>
                <w:sz w:val="16"/>
                <w:szCs w:val="16"/>
              </w:rPr>
              <w:br w:type="textWrapping"/>
            </w:r>
            <w:r>
              <w:rPr>
                <w:color w:val="000000"/>
                <w:kern w:val="0"/>
                <w:sz w:val="16"/>
                <w:szCs w:val="16"/>
              </w:rPr>
              <w:t>广东工业大学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09235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设计原理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04026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10177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设计基础</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130508</w:t>
            </w:r>
            <w:r>
              <w:rPr>
                <w:color w:val="000000"/>
                <w:kern w:val="0"/>
                <w:sz w:val="16"/>
                <w:szCs w:val="16"/>
              </w:rPr>
              <w:br w:type="textWrapping"/>
            </w:r>
            <w:r>
              <w:rPr>
                <w:color w:val="000000"/>
                <w:kern w:val="0"/>
                <w:sz w:val="16"/>
                <w:szCs w:val="16"/>
              </w:rPr>
              <w:t>数字媒体艺术</w:t>
            </w:r>
            <w:r>
              <w:rPr>
                <w:color w:val="000000"/>
                <w:kern w:val="0"/>
                <w:sz w:val="16"/>
                <w:szCs w:val="16"/>
              </w:rPr>
              <w:br w:type="textWrapping"/>
            </w:r>
            <w:r>
              <w:rPr>
                <w:color w:val="000000"/>
                <w:kern w:val="0"/>
                <w:sz w:val="16"/>
                <w:szCs w:val="16"/>
              </w:rPr>
              <w:t>（本科）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深圳大学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00504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艺术概论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05710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多媒体技术应用</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07759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Visual Basic程序设计</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340101</w:t>
            </w:r>
            <w:r>
              <w:rPr>
                <w:b/>
                <w:bCs/>
                <w:color w:val="000000"/>
                <w:kern w:val="0"/>
                <w:sz w:val="16"/>
                <w:szCs w:val="16"/>
              </w:rPr>
              <w:br w:type="textWrapping"/>
            </w:r>
            <w:r>
              <w:rPr>
                <w:b/>
                <w:bCs/>
                <w:color w:val="000000"/>
                <w:kern w:val="0"/>
                <w:sz w:val="16"/>
                <w:szCs w:val="16"/>
              </w:rPr>
              <w:t>教育管理#</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10488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班级管理学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00442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教育学(二)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10489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现代学校人力资源管理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10490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教育财政学</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00459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高等教育管理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344"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340102</w:t>
            </w:r>
            <w:r>
              <w:rPr>
                <w:b/>
                <w:bCs/>
                <w:color w:val="000000"/>
                <w:kern w:val="0"/>
                <w:sz w:val="16"/>
                <w:szCs w:val="16"/>
              </w:rPr>
              <w:br w:type="textWrapping"/>
            </w:r>
            <w:r>
              <w:rPr>
                <w:b/>
                <w:bCs/>
                <w:color w:val="000000"/>
                <w:kern w:val="0"/>
                <w:sz w:val="16"/>
                <w:szCs w:val="16"/>
              </w:rPr>
              <w:t>心理健康教育#</w:t>
            </w:r>
            <w:r>
              <w:rPr>
                <w:b/>
                <w:bCs/>
                <w:color w:val="000000"/>
                <w:kern w:val="0"/>
                <w:sz w:val="16"/>
                <w:szCs w:val="16"/>
              </w:rPr>
              <w:br w:type="textWrapping"/>
            </w:r>
            <w:r>
              <w:rPr>
                <w:b/>
                <w:bCs/>
                <w:color w:val="000000"/>
                <w:kern w:val="0"/>
                <w:sz w:val="16"/>
                <w:szCs w:val="16"/>
              </w:rPr>
              <w:t>（本科）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00266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社会心理学(一)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02108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实验心理学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00471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认知心理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03519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心理测评技术与档案建立</w:t>
            </w:r>
          </w:p>
        </w:tc>
      </w:tr>
      <w:tr>
        <w:tblPrEx>
          <w:tblLayout w:type="fixed"/>
          <w:tblCellMar>
            <w:top w:w="15" w:type="dxa"/>
            <w:left w:w="15" w:type="dxa"/>
            <w:bottom w:w="15" w:type="dxa"/>
            <w:right w:w="15" w:type="dxa"/>
          </w:tblCellMar>
        </w:tblPrEx>
        <w:trPr>
          <w:trHeight w:val="411"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05951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心理与教育统计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04269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人格心理学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04267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学习心理与辅导</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540301</w:t>
            </w:r>
            <w:r>
              <w:rPr>
                <w:color w:val="000000"/>
                <w:kern w:val="0"/>
                <w:sz w:val="16"/>
                <w:szCs w:val="16"/>
              </w:rPr>
              <w:br w:type="textWrapping"/>
            </w:r>
            <w:r>
              <w:rPr>
                <w:color w:val="000000"/>
                <w:kern w:val="0"/>
                <w:sz w:val="16"/>
                <w:szCs w:val="16"/>
              </w:rPr>
              <w:t>建筑工程技术</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02394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房屋建筑学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590106</w:t>
            </w:r>
            <w:r>
              <w:rPr>
                <w:color w:val="000000"/>
                <w:kern w:val="0"/>
                <w:sz w:val="16"/>
                <w:szCs w:val="16"/>
              </w:rPr>
              <w:br w:type="textWrapping"/>
            </w:r>
            <w:r>
              <w:rPr>
                <w:color w:val="000000"/>
                <w:kern w:val="0"/>
                <w:sz w:val="16"/>
                <w:szCs w:val="16"/>
              </w:rPr>
              <w:t>食品营养与卫生</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南方医科大学</w:t>
            </w:r>
            <w:r>
              <w:rPr>
                <w:color w:val="000000"/>
                <w:kern w:val="0"/>
                <w:sz w:val="16"/>
                <w:szCs w:val="16"/>
              </w:rPr>
              <w:br w:type="textWrapping"/>
            </w:r>
            <w:r>
              <w:rPr>
                <w:color w:val="000000"/>
                <w:kern w:val="0"/>
                <w:sz w:val="16"/>
                <w:szCs w:val="16"/>
              </w:rPr>
              <w:t>暨南大学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00988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食品营养学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327"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630201</w:t>
            </w:r>
            <w:r>
              <w:rPr>
                <w:color w:val="000000"/>
                <w:kern w:val="0"/>
                <w:sz w:val="16"/>
                <w:szCs w:val="16"/>
              </w:rPr>
              <w:br w:type="textWrapping"/>
            </w:r>
            <w:r>
              <w:rPr>
                <w:color w:val="000000"/>
                <w:kern w:val="0"/>
                <w:sz w:val="16"/>
                <w:szCs w:val="16"/>
              </w:rPr>
              <w:t>金融管理</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r>
              <w:rPr>
                <w:color w:val="000000"/>
                <w:kern w:val="0"/>
                <w:sz w:val="16"/>
                <w:szCs w:val="16"/>
              </w:rPr>
              <w:br w:type="textWrapping"/>
            </w:r>
            <w:r>
              <w:rPr>
                <w:color w:val="000000"/>
                <w:kern w:val="0"/>
                <w:sz w:val="16"/>
                <w:szCs w:val="16"/>
              </w:rPr>
              <w:t>华南农业大学</w:t>
            </w:r>
            <w:r>
              <w:rPr>
                <w:color w:val="000000"/>
                <w:kern w:val="0"/>
                <w:sz w:val="16"/>
                <w:szCs w:val="16"/>
              </w:rPr>
              <w:br w:type="textWrapping"/>
            </w:r>
            <w:r>
              <w:rPr>
                <w:color w:val="000000"/>
                <w:kern w:val="0"/>
                <w:sz w:val="16"/>
                <w:szCs w:val="16"/>
              </w:rPr>
              <w:t>暨南大学</w:t>
            </w:r>
            <w:r>
              <w:rPr>
                <w:color w:val="000000"/>
                <w:kern w:val="0"/>
                <w:sz w:val="16"/>
                <w:szCs w:val="16"/>
              </w:rPr>
              <w:br w:type="textWrapping"/>
            </w:r>
            <w:r>
              <w:rPr>
                <w:color w:val="000000"/>
                <w:kern w:val="0"/>
                <w:sz w:val="16"/>
                <w:szCs w:val="16"/>
              </w:rPr>
              <w:t>广东外语外贸大学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商务交流</w:t>
            </w:r>
          </w:p>
        </w:tc>
      </w:tr>
      <w:tr>
        <w:tblPrEx>
          <w:tblLayout w:type="fixed"/>
          <w:tblCellMar>
            <w:top w:w="15" w:type="dxa"/>
            <w:left w:w="15" w:type="dxa"/>
            <w:bottom w:w="15" w:type="dxa"/>
            <w:right w:w="15" w:type="dxa"/>
          </w:tblCellMar>
        </w:tblPrEx>
        <w:trPr>
          <w:trHeight w:val="31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管理会计(二)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数量方法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管理信息技术</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财务管理</w:t>
            </w:r>
          </w:p>
        </w:tc>
      </w:tr>
      <w:tr>
        <w:tblPrEx>
          <w:tblLayout w:type="fixed"/>
          <w:tblCellMar>
            <w:top w:w="15" w:type="dxa"/>
            <w:left w:w="15" w:type="dxa"/>
            <w:bottom w:w="15" w:type="dxa"/>
            <w:right w:w="15" w:type="dxa"/>
          </w:tblCellMar>
        </w:tblPrEx>
        <w:trPr>
          <w:trHeight w:val="525"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财务报表分析(二)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金融法(二)</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630201</w:t>
            </w:r>
            <w:r>
              <w:rPr>
                <w:color w:val="000000"/>
                <w:kern w:val="0"/>
                <w:sz w:val="16"/>
                <w:szCs w:val="16"/>
              </w:rPr>
              <w:br w:type="textWrapping"/>
            </w:r>
            <w:r>
              <w:rPr>
                <w:color w:val="000000"/>
                <w:kern w:val="0"/>
                <w:sz w:val="16"/>
                <w:szCs w:val="16"/>
              </w:rPr>
              <w:t>金融管理</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（金融）</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00103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证券投资学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630201</w:t>
            </w:r>
            <w:r>
              <w:rPr>
                <w:color w:val="000000"/>
                <w:kern w:val="0"/>
                <w:sz w:val="16"/>
                <w:szCs w:val="16"/>
              </w:rPr>
              <w:br w:type="textWrapping"/>
            </w:r>
            <w:r>
              <w:rPr>
                <w:color w:val="000000"/>
                <w:kern w:val="0"/>
                <w:sz w:val="16"/>
                <w:szCs w:val="16"/>
              </w:rPr>
              <w:t>金融管理</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（金融管理）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商务交流</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管理会计(二)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数量方法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管理信息技术</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财务报表分析(二)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金融法(二)</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630201</w:t>
            </w:r>
            <w:r>
              <w:rPr>
                <w:color w:val="000000"/>
                <w:kern w:val="0"/>
                <w:sz w:val="16"/>
                <w:szCs w:val="16"/>
              </w:rPr>
              <w:br w:type="textWrapping"/>
            </w:r>
            <w:r>
              <w:rPr>
                <w:color w:val="000000"/>
                <w:kern w:val="0"/>
                <w:sz w:val="16"/>
                <w:szCs w:val="16"/>
              </w:rPr>
              <w:t>金融管理</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广东金融学院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00103</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证券投资学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630302</w:t>
            </w:r>
            <w:r>
              <w:rPr>
                <w:color w:val="000000"/>
                <w:kern w:val="0"/>
                <w:sz w:val="16"/>
                <w:szCs w:val="16"/>
              </w:rPr>
              <w:br w:type="textWrapping"/>
            </w:r>
            <w:r>
              <w:rPr>
                <w:color w:val="000000"/>
                <w:kern w:val="0"/>
                <w:sz w:val="16"/>
                <w:szCs w:val="16"/>
              </w:rPr>
              <w:t>会计</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华南理工大学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05946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关系数据库原理与程序设计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08310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会计电算化</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02600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C语言程序设计</w:t>
            </w:r>
          </w:p>
        </w:tc>
      </w:tr>
      <w:tr>
        <w:tblPrEx>
          <w:tblLayout w:type="fixed"/>
          <w:tblCellMar>
            <w:top w:w="15" w:type="dxa"/>
            <w:left w:w="15" w:type="dxa"/>
            <w:bottom w:w="15" w:type="dxa"/>
            <w:right w:w="15" w:type="dxa"/>
          </w:tblCellMar>
        </w:tblPrEx>
        <w:trPr>
          <w:trHeight w:val="326"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630302</w:t>
            </w:r>
            <w:r>
              <w:rPr>
                <w:color w:val="000000"/>
                <w:kern w:val="0"/>
                <w:sz w:val="16"/>
                <w:szCs w:val="16"/>
              </w:rPr>
              <w:br w:type="textWrapping"/>
            </w:r>
            <w:r>
              <w:rPr>
                <w:color w:val="000000"/>
                <w:kern w:val="0"/>
                <w:sz w:val="16"/>
                <w:szCs w:val="16"/>
              </w:rPr>
              <w:t>会计</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03172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农业经济学(二)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02827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农村企事业会计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财政与农村金融</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00944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审计</w:t>
            </w:r>
          </w:p>
        </w:tc>
      </w:tr>
      <w:tr>
        <w:tblPrEx>
          <w:tblLayout w:type="fixed"/>
          <w:tblCellMar>
            <w:top w:w="15" w:type="dxa"/>
            <w:left w:w="15" w:type="dxa"/>
            <w:bottom w:w="15" w:type="dxa"/>
            <w:right w:w="15" w:type="dxa"/>
          </w:tblCellMar>
        </w:tblPrEx>
        <w:trPr>
          <w:trHeight w:val="326"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08114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财务管理学(一)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04540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写作基础与应用</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07481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管理学基础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07492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农村政策法规</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07787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会计学原理</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630302</w:t>
            </w:r>
            <w:r>
              <w:rPr>
                <w:color w:val="000000"/>
                <w:kern w:val="0"/>
                <w:sz w:val="16"/>
                <w:szCs w:val="16"/>
              </w:rPr>
              <w:br w:type="textWrapping"/>
            </w:r>
            <w:r>
              <w:rPr>
                <w:color w:val="000000"/>
                <w:kern w:val="0"/>
                <w:sz w:val="16"/>
                <w:szCs w:val="16"/>
              </w:rPr>
              <w:t>会计</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（会计电算化）</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05946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关系数据库原理与程序设计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08310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会计电算化</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02600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C语言程序设计</w:t>
            </w:r>
          </w:p>
        </w:tc>
      </w:tr>
      <w:tr>
        <w:tblPrEx>
          <w:tblLayout w:type="fixed"/>
          <w:tblCellMar>
            <w:top w:w="15" w:type="dxa"/>
            <w:left w:w="15" w:type="dxa"/>
            <w:bottom w:w="15" w:type="dxa"/>
            <w:right w:w="15" w:type="dxa"/>
          </w:tblCellMar>
        </w:tblPrEx>
        <w:trPr>
          <w:trHeight w:val="31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630302</w:t>
            </w:r>
            <w:r>
              <w:rPr>
                <w:color w:val="000000"/>
                <w:kern w:val="0"/>
                <w:sz w:val="16"/>
                <w:szCs w:val="16"/>
              </w:rPr>
              <w:br w:type="textWrapping"/>
            </w:r>
            <w:r>
              <w:rPr>
                <w:color w:val="000000"/>
                <w:kern w:val="0"/>
                <w:sz w:val="16"/>
                <w:szCs w:val="16"/>
              </w:rPr>
              <w:t>会计</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（农村财会与审计）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03172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农业经济学(二)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02827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农村企事业会计</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04534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财政与农村金融</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00944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审计</w:t>
            </w:r>
          </w:p>
        </w:tc>
      </w:tr>
      <w:tr>
        <w:tblPrEx>
          <w:tblLayout w:type="fixed"/>
          <w:tblCellMar>
            <w:top w:w="15" w:type="dxa"/>
            <w:left w:w="15" w:type="dxa"/>
            <w:bottom w:w="15" w:type="dxa"/>
            <w:right w:w="15" w:type="dxa"/>
          </w:tblCellMar>
        </w:tblPrEx>
        <w:trPr>
          <w:trHeight w:val="343"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08114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财务管理学(一)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04540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写作基础与应用</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07481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管理学基础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07492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农村政策法规</w:t>
            </w:r>
          </w:p>
        </w:tc>
      </w:tr>
      <w:tr>
        <w:tblPrEx>
          <w:tblLayout w:type="fixed"/>
          <w:tblCellMar>
            <w:top w:w="15" w:type="dxa"/>
            <w:left w:w="15" w:type="dxa"/>
            <w:bottom w:w="15" w:type="dxa"/>
            <w:right w:w="15" w:type="dxa"/>
          </w:tblCellMar>
        </w:tblPrEx>
        <w:trPr>
          <w:trHeight w:val="3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07787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会计学原理</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630601</w:t>
            </w:r>
            <w:r>
              <w:rPr>
                <w:color w:val="000000"/>
                <w:kern w:val="0"/>
                <w:sz w:val="16"/>
                <w:szCs w:val="16"/>
              </w:rPr>
              <w:br w:type="textWrapping"/>
            </w:r>
            <w:r>
              <w:rPr>
                <w:color w:val="000000"/>
                <w:kern w:val="0"/>
                <w:sz w:val="16"/>
                <w:szCs w:val="16"/>
              </w:rPr>
              <w:t>工商企业管理</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r>
              <w:rPr>
                <w:color w:val="000000"/>
                <w:kern w:val="0"/>
                <w:sz w:val="16"/>
                <w:szCs w:val="16"/>
              </w:rPr>
              <w:br w:type="textWrapping"/>
            </w:r>
            <w:r>
              <w:rPr>
                <w:color w:val="000000"/>
                <w:kern w:val="0"/>
                <w:sz w:val="16"/>
                <w:szCs w:val="16"/>
              </w:rPr>
              <w:t>暨南大学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05171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中小企业战略管理</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630602</w:t>
            </w:r>
            <w:r>
              <w:rPr>
                <w:color w:val="000000"/>
                <w:kern w:val="0"/>
                <w:sz w:val="16"/>
                <w:szCs w:val="16"/>
              </w:rPr>
              <w:br w:type="textWrapping"/>
            </w:r>
            <w:r>
              <w:rPr>
                <w:color w:val="000000"/>
                <w:kern w:val="0"/>
                <w:sz w:val="16"/>
                <w:szCs w:val="16"/>
              </w:rPr>
              <w:t>商务管理</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r>
              <w:rPr>
                <w:color w:val="000000"/>
                <w:kern w:val="0"/>
                <w:sz w:val="16"/>
                <w:szCs w:val="16"/>
              </w:rPr>
              <w:br w:type="textWrapping"/>
            </w:r>
            <w:r>
              <w:rPr>
                <w:color w:val="000000"/>
                <w:kern w:val="0"/>
                <w:sz w:val="16"/>
                <w:szCs w:val="16"/>
              </w:rPr>
              <w:t>暨南大学</w:t>
            </w:r>
            <w:r>
              <w:rPr>
                <w:color w:val="000000"/>
                <w:kern w:val="0"/>
                <w:sz w:val="16"/>
                <w:szCs w:val="16"/>
              </w:rPr>
              <w:br w:type="textWrapping"/>
            </w:r>
            <w:r>
              <w:rPr>
                <w:color w:val="000000"/>
                <w:kern w:val="0"/>
                <w:sz w:val="16"/>
                <w:szCs w:val="16"/>
              </w:rPr>
              <w:t>广东外语外贸大学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深圳大学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企业组织与环境</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会计学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商务交流</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00799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数量方法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管理信息技术</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财务管理</w:t>
            </w:r>
          </w:p>
        </w:tc>
      </w:tr>
      <w:tr>
        <w:tblPrEx>
          <w:tblLayout w:type="fixed"/>
          <w:tblCellMar>
            <w:top w:w="15" w:type="dxa"/>
            <w:left w:w="15" w:type="dxa"/>
            <w:bottom w:w="15" w:type="dxa"/>
            <w:right w:w="15" w:type="dxa"/>
          </w:tblCellMar>
        </w:tblPrEx>
        <w:trPr>
          <w:trHeight w:val="525"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00811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国际贸易实务(二)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00810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人力资源管理(二)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00809</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市场营销(二)</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630903</w:t>
            </w:r>
            <w:r>
              <w:rPr>
                <w:b/>
                <w:bCs/>
                <w:color w:val="000000"/>
                <w:kern w:val="0"/>
                <w:sz w:val="16"/>
                <w:szCs w:val="16"/>
              </w:rPr>
              <w:br w:type="textWrapping"/>
            </w:r>
            <w:r>
              <w:rPr>
                <w:b/>
                <w:bCs/>
                <w:color w:val="000000"/>
                <w:kern w:val="0"/>
                <w:sz w:val="16"/>
                <w:szCs w:val="16"/>
              </w:rPr>
              <w:t>物流管理#</w:t>
            </w:r>
            <w:r>
              <w:rPr>
                <w:b/>
                <w:bCs/>
                <w:color w:val="000000"/>
                <w:kern w:val="0"/>
                <w:sz w:val="16"/>
                <w:szCs w:val="16"/>
              </w:rPr>
              <w:br w:type="textWrapping"/>
            </w:r>
            <w:r>
              <w:rPr>
                <w:b/>
                <w:bCs/>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深圳大学</w:t>
            </w:r>
            <w:r>
              <w:rPr>
                <w:b/>
                <w:bCs/>
                <w:color w:val="000000"/>
                <w:kern w:val="0"/>
                <w:sz w:val="16"/>
                <w:szCs w:val="16"/>
              </w:rPr>
              <w:br w:type="textWrapping"/>
            </w:r>
            <w:r>
              <w:rPr>
                <w:b/>
                <w:bCs/>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03617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采购与供应链案例</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01001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物流案例与实训</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07032</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运输与配送</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07008</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采购与仓储管理</w:t>
            </w:r>
          </w:p>
        </w:tc>
      </w:tr>
      <w:tr>
        <w:tblPrEx>
          <w:tblLayout w:type="fixed"/>
          <w:tblCellMar>
            <w:top w:w="15" w:type="dxa"/>
            <w:left w:w="15" w:type="dxa"/>
            <w:bottom w:w="15" w:type="dxa"/>
            <w:right w:w="15" w:type="dxa"/>
          </w:tblCellMar>
        </w:tblPrEx>
        <w:trPr>
          <w:trHeight w:val="27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07031</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物流管理概论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07802</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采购管理与库存控制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07037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信息技术与物流管理</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297"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630907</w:t>
            </w:r>
            <w:r>
              <w:rPr>
                <w:b/>
                <w:bCs/>
                <w:color w:val="000000"/>
                <w:kern w:val="0"/>
                <w:sz w:val="16"/>
                <w:szCs w:val="16"/>
              </w:rPr>
              <w:br w:type="textWrapping"/>
            </w:r>
            <w:r>
              <w:rPr>
                <w:b/>
                <w:bCs/>
                <w:color w:val="000000"/>
                <w:kern w:val="0"/>
                <w:sz w:val="16"/>
                <w:szCs w:val="16"/>
              </w:rPr>
              <w:t>采购与供应管理#</w:t>
            </w:r>
            <w:r>
              <w:rPr>
                <w:b/>
                <w:bCs/>
                <w:color w:val="000000"/>
                <w:kern w:val="0"/>
                <w:sz w:val="16"/>
                <w:szCs w:val="16"/>
              </w:rPr>
              <w:br w:type="textWrapping"/>
            </w:r>
            <w:r>
              <w:rPr>
                <w:b/>
                <w:bCs/>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05727</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采购原理与战略</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05729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国际物流</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05730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采购环境与供应市场分析</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05732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采购过程与合同管理</w:t>
            </w:r>
          </w:p>
        </w:tc>
      </w:tr>
      <w:tr>
        <w:tblPrEx>
          <w:tblLayout w:type="fixed"/>
          <w:tblCellMar>
            <w:top w:w="15" w:type="dxa"/>
            <w:left w:w="15" w:type="dxa"/>
            <w:bottom w:w="15" w:type="dxa"/>
            <w:right w:w="15" w:type="dxa"/>
          </w:tblCellMar>
        </w:tblPrEx>
        <w:trPr>
          <w:trHeight w:val="297"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05731</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采购绩效测量与商业分析</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640101</w:t>
            </w:r>
            <w:r>
              <w:rPr>
                <w:color w:val="000000"/>
                <w:kern w:val="0"/>
                <w:sz w:val="16"/>
                <w:szCs w:val="16"/>
              </w:rPr>
              <w:br w:type="textWrapping"/>
            </w:r>
            <w:r>
              <w:rPr>
                <w:color w:val="000000"/>
                <w:kern w:val="0"/>
                <w:sz w:val="16"/>
                <w:szCs w:val="16"/>
              </w:rPr>
              <w:t>旅游管理</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r>
              <w:rPr>
                <w:color w:val="000000"/>
                <w:kern w:val="0"/>
                <w:sz w:val="16"/>
                <w:szCs w:val="16"/>
              </w:rPr>
              <w:br w:type="textWrapping"/>
            </w:r>
            <w:r>
              <w:rPr>
                <w:color w:val="000000"/>
                <w:kern w:val="0"/>
                <w:sz w:val="16"/>
                <w:szCs w:val="16"/>
              </w:rPr>
              <w:t>暨南大学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00192</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旅游市场学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06010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旅游英语</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03529</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国际旅游饭店管理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00194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旅游法规</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02519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食品营养与卫生</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11341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国际旅游学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06123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导游学概论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11506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旅游饭店财务管理</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07489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应用写作</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650102</w:t>
            </w:r>
            <w:r>
              <w:rPr>
                <w:color w:val="000000"/>
                <w:kern w:val="0"/>
                <w:sz w:val="16"/>
                <w:szCs w:val="16"/>
              </w:rPr>
              <w:br w:type="textWrapping"/>
            </w:r>
            <w:r>
              <w:rPr>
                <w:color w:val="000000"/>
                <w:kern w:val="0"/>
                <w:sz w:val="16"/>
                <w:szCs w:val="16"/>
              </w:rPr>
              <w:t>视觉传播设计与制作</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广州美术学院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00504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艺术概论</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10177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设计基础</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650103</w:t>
            </w:r>
            <w:r>
              <w:rPr>
                <w:color w:val="000000"/>
                <w:kern w:val="0"/>
                <w:sz w:val="16"/>
                <w:szCs w:val="16"/>
              </w:rPr>
              <w:br w:type="textWrapping"/>
            </w:r>
            <w:r>
              <w:rPr>
                <w:color w:val="000000"/>
                <w:kern w:val="0"/>
                <w:sz w:val="16"/>
                <w:szCs w:val="16"/>
              </w:rPr>
              <w:t>广告设计与制作</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深圳大学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广告法规与管理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00637</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广告媒体分析</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广告心理学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00634</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广告策划</w:t>
            </w:r>
          </w:p>
        </w:tc>
      </w:tr>
      <w:tr>
        <w:tblPrEx>
          <w:tblLayout w:type="fixed"/>
          <w:tblCellMar>
            <w:top w:w="15" w:type="dxa"/>
            <w:left w:w="15" w:type="dxa"/>
            <w:bottom w:w="15" w:type="dxa"/>
            <w:right w:w="15" w:type="dxa"/>
          </w:tblCellMar>
        </w:tblPrEx>
        <w:trPr>
          <w:trHeight w:val="411"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00638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企业形象与策划（CIS）</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00850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广告设计基础</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00851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广告文案写作</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650108</w:t>
            </w:r>
            <w:r>
              <w:rPr>
                <w:b/>
                <w:bCs/>
                <w:color w:val="000000"/>
                <w:kern w:val="0"/>
                <w:sz w:val="16"/>
                <w:szCs w:val="16"/>
              </w:rPr>
              <w:br w:type="textWrapping"/>
            </w:r>
            <w:r>
              <w:rPr>
                <w:b/>
                <w:bCs/>
                <w:color w:val="000000"/>
                <w:kern w:val="0"/>
                <w:sz w:val="16"/>
                <w:szCs w:val="16"/>
              </w:rPr>
              <w:t>服装与服饰设计#</w:t>
            </w:r>
            <w:r>
              <w:rPr>
                <w:b/>
                <w:bCs/>
                <w:color w:val="000000"/>
                <w:kern w:val="0"/>
                <w:sz w:val="16"/>
                <w:szCs w:val="16"/>
              </w:rPr>
              <w:br w:type="textWrapping"/>
            </w:r>
            <w:r>
              <w:rPr>
                <w:b/>
                <w:bCs/>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华南农业大学</w:t>
            </w:r>
            <w:r>
              <w:rPr>
                <w:b/>
                <w:bCs/>
                <w:color w:val="000000"/>
                <w:kern w:val="0"/>
                <w:sz w:val="16"/>
                <w:szCs w:val="16"/>
              </w:rPr>
              <w:br w:type="textWrapping"/>
            </w:r>
            <w:r>
              <w:rPr>
                <w:b/>
                <w:bCs/>
                <w:color w:val="000000"/>
                <w:kern w:val="0"/>
                <w:sz w:val="16"/>
                <w:szCs w:val="16"/>
              </w:rPr>
              <w:t>惠州学院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服装生产管理</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00683</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服装市场与营销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00677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服装材料</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服装发展简史</w:t>
            </w:r>
          </w:p>
        </w:tc>
      </w:tr>
      <w:tr>
        <w:tblPrEx>
          <w:tblLayout w:type="fixed"/>
          <w:tblCellMar>
            <w:top w:w="15" w:type="dxa"/>
            <w:left w:w="15" w:type="dxa"/>
            <w:bottom w:w="15" w:type="dxa"/>
            <w:right w:w="15" w:type="dxa"/>
          </w:tblCellMar>
        </w:tblPrEx>
        <w:trPr>
          <w:trHeight w:val="411"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服装企业督导管理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03906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服装品质管理</w:t>
            </w: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650111</w:t>
            </w:r>
            <w:r>
              <w:rPr>
                <w:color w:val="000000"/>
                <w:kern w:val="0"/>
                <w:sz w:val="16"/>
                <w:szCs w:val="16"/>
              </w:rPr>
              <w:br w:type="textWrapping"/>
            </w:r>
            <w:r>
              <w:rPr>
                <w:color w:val="000000"/>
                <w:kern w:val="0"/>
                <w:sz w:val="16"/>
                <w:szCs w:val="16"/>
              </w:rPr>
              <w:t>环境艺术设计</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华南农业大学</w:t>
            </w:r>
            <w:r>
              <w:rPr>
                <w:color w:val="000000"/>
                <w:kern w:val="0"/>
                <w:sz w:val="16"/>
                <w:szCs w:val="16"/>
              </w:rPr>
              <w:br w:type="textWrapping"/>
            </w:r>
            <w:r>
              <w:rPr>
                <w:color w:val="000000"/>
                <w:kern w:val="0"/>
                <w:sz w:val="16"/>
                <w:szCs w:val="16"/>
              </w:rPr>
              <w:t>华南师范大学</w:t>
            </w:r>
            <w:r>
              <w:rPr>
                <w:color w:val="000000"/>
                <w:kern w:val="0"/>
                <w:sz w:val="16"/>
                <w:szCs w:val="16"/>
              </w:rPr>
              <w:br w:type="textWrapping"/>
            </w:r>
            <w:r>
              <w:rPr>
                <w:color w:val="000000"/>
                <w:kern w:val="0"/>
                <w:sz w:val="16"/>
                <w:szCs w:val="16"/>
              </w:rPr>
              <w:t>广州美术学院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00504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艺术概论</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10177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设计基础</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650120</w:t>
            </w:r>
            <w:r>
              <w:rPr>
                <w:color w:val="000000"/>
                <w:kern w:val="0"/>
                <w:sz w:val="16"/>
                <w:szCs w:val="16"/>
              </w:rPr>
              <w:br w:type="textWrapping"/>
            </w:r>
            <w:r>
              <w:rPr>
                <w:color w:val="000000"/>
                <w:kern w:val="0"/>
                <w:sz w:val="16"/>
                <w:szCs w:val="16"/>
              </w:rPr>
              <w:t>动漫设计</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r>
              <w:rPr>
                <w:color w:val="000000"/>
                <w:kern w:val="0"/>
                <w:sz w:val="16"/>
                <w:szCs w:val="16"/>
              </w:rPr>
              <w:br w:type="textWrapping"/>
            </w:r>
            <w:r>
              <w:rPr>
                <w:color w:val="000000"/>
                <w:kern w:val="0"/>
                <w:sz w:val="16"/>
                <w:szCs w:val="16"/>
              </w:rPr>
              <w:t>广州美术学院</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08878</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动漫产业概论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08881</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动画编导基础</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670102K</w:t>
            </w:r>
            <w:r>
              <w:rPr>
                <w:color w:val="000000"/>
                <w:kern w:val="0"/>
                <w:sz w:val="16"/>
                <w:szCs w:val="16"/>
              </w:rPr>
              <w:br w:type="textWrapping"/>
            </w:r>
            <w:r>
              <w:rPr>
                <w:color w:val="000000"/>
                <w:kern w:val="0"/>
                <w:sz w:val="16"/>
                <w:szCs w:val="16"/>
              </w:rPr>
              <w:t>学前教育</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r>
              <w:rPr>
                <w:color w:val="000000"/>
                <w:kern w:val="0"/>
                <w:sz w:val="16"/>
                <w:szCs w:val="16"/>
              </w:rPr>
              <w:br w:type="textWrapping"/>
            </w:r>
            <w:r>
              <w:rPr>
                <w:color w:val="000000"/>
                <w:kern w:val="0"/>
                <w:sz w:val="16"/>
                <w:szCs w:val="16"/>
              </w:rPr>
              <w:t>广东省外语艺术职业学院</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幼儿文学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00393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学前儿童语言教育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学前教育学</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学前教育科学研究</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00388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学前儿童数学教育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00396</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学前儿童美术教育</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00390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学前儿童科学教育</w:t>
            </w:r>
          </w:p>
        </w:tc>
      </w:tr>
      <w:tr>
        <w:tblPrEx>
          <w:tblLayout w:type="fixed"/>
          <w:tblCellMar>
            <w:top w:w="15" w:type="dxa"/>
            <w:left w:w="15" w:type="dxa"/>
            <w:bottom w:w="15" w:type="dxa"/>
            <w:right w:w="15" w:type="dxa"/>
          </w:tblCellMar>
        </w:tblPrEx>
        <w:trPr>
          <w:trHeight w:val="16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00397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学前儿童音乐教育</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571"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670121K</w:t>
            </w:r>
            <w:r>
              <w:rPr>
                <w:b/>
                <w:bCs/>
                <w:color w:val="000000"/>
                <w:kern w:val="0"/>
                <w:sz w:val="16"/>
                <w:szCs w:val="16"/>
              </w:rPr>
              <w:br w:type="textWrapping"/>
            </w:r>
            <w:r>
              <w:rPr>
                <w:b/>
                <w:bCs/>
                <w:color w:val="000000"/>
                <w:kern w:val="0"/>
                <w:sz w:val="16"/>
                <w:szCs w:val="16"/>
              </w:rPr>
              <w:t>心理健康教育#</w:t>
            </w:r>
            <w:r>
              <w:rPr>
                <w:b/>
                <w:bCs/>
                <w:color w:val="000000"/>
                <w:kern w:val="0"/>
                <w:sz w:val="16"/>
                <w:szCs w:val="16"/>
              </w:rPr>
              <w:br w:type="textWrapping"/>
            </w:r>
            <w:r>
              <w:rPr>
                <w:b/>
                <w:bCs/>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04265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社会心理学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03518</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特殊儿童心理与教育</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03517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心理健康教育课程设计</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03372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团体心理辅导</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670202</w:t>
            </w:r>
            <w:r>
              <w:rPr>
                <w:color w:val="000000"/>
                <w:kern w:val="0"/>
                <w:sz w:val="16"/>
                <w:szCs w:val="16"/>
              </w:rPr>
              <w:br w:type="textWrapping"/>
            </w:r>
            <w:r>
              <w:rPr>
                <w:color w:val="000000"/>
                <w:kern w:val="0"/>
                <w:sz w:val="16"/>
                <w:szCs w:val="16"/>
              </w:rPr>
              <w:t>商务英语</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r>
              <w:rPr>
                <w:color w:val="000000"/>
                <w:kern w:val="0"/>
                <w:sz w:val="16"/>
                <w:szCs w:val="16"/>
              </w:rPr>
              <w:br w:type="textWrapping"/>
            </w:r>
            <w:r>
              <w:rPr>
                <w:color w:val="000000"/>
                <w:kern w:val="0"/>
                <w:sz w:val="16"/>
                <w:szCs w:val="16"/>
              </w:rPr>
              <w:t>广东财经大学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05439</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商务英语阅读</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05440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商务英语写作</w:t>
            </w:r>
          </w:p>
        </w:tc>
        <w:tc>
          <w:tcPr>
            <w:tcW w:w="76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98"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r>
      <w:tr>
        <w:tblPrEx>
          <w:tblLayout w:type="fixed"/>
          <w:tblCellMar>
            <w:top w:w="15" w:type="dxa"/>
            <w:left w:w="15" w:type="dxa"/>
            <w:bottom w:w="15" w:type="dxa"/>
            <w:right w:w="15" w:type="dxa"/>
          </w:tblCellMar>
        </w:tblPrEx>
        <w:trPr>
          <w:trHeight w:val="376"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670206</w:t>
            </w:r>
            <w:r>
              <w:rPr>
                <w:color w:val="000000"/>
                <w:kern w:val="0"/>
                <w:sz w:val="16"/>
                <w:szCs w:val="16"/>
              </w:rPr>
              <w:br w:type="textWrapping"/>
            </w:r>
            <w:r>
              <w:rPr>
                <w:color w:val="000000"/>
                <w:kern w:val="0"/>
                <w:sz w:val="16"/>
                <w:szCs w:val="16"/>
              </w:rPr>
              <w:t>应用日语</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r>
              <w:rPr>
                <w:color w:val="000000"/>
                <w:kern w:val="0"/>
                <w:sz w:val="16"/>
                <w:szCs w:val="16"/>
              </w:rPr>
              <w:br w:type="textWrapping"/>
            </w: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基础日语(二)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00844</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日语阅读(二)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基础日语(一)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00843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日语阅读(一)</w:t>
            </w:r>
          </w:p>
        </w:tc>
      </w:tr>
      <w:tr>
        <w:tblPrEx>
          <w:tblLayout w:type="fixed"/>
          <w:tblCellMar>
            <w:top w:w="15" w:type="dxa"/>
            <w:left w:w="15" w:type="dxa"/>
            <w:bottom w:w="15" w:type="dxa"/>
            <w:right w:w="15" w:type="dxa"/>
          </w:tblCellMar>
        </w:tblPrEx>
        <w:trPr>
          <w:trHeight w:val="424"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日本国概况</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00607</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日语语法</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11600</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日语综合技能(一)</w:t>
            </w:r>
          </w:p>
        </w:tc>
      </w:tr>
      <w:tr>
        <w:tblPrEx>
          <w:tblLayout w:type="fixed"/>
          <w:tblCellMar>
            <w:top w:w="15" w:type="dxa"/>
            <w:left w:w="15" w:type="dxa"/>
            <w:bottom w:w="15" w:type="dxa"/>
            <w:right w:w="15" w:type="dxa"/>
          </w:tblCellMar>
        </w:tblPrEx>
        <w:trPr>
          <w:trHeight w:val="514" w:hRule="atLeast"/>
          <w:jc w:val="center"/>
        </w:trPr>
        <w:tc>
          <w:tcPr>
            <w:tcW w:w="1470" w:type="dxa"/>
            <w:vMerge w:val="restart"/>
            <w:tcBorders>
              <w:top w:val="single" w:color="000000" w:sz="4" w:space="0"/>
              <w:left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670301</w:t>
            </w:r>
            <w:r>
              <w:rPr>
                <w:color w:val="000000"/>
                <w:kern w:val="0"/>
                <w:sz w:val="16"/>
                <w:szCs w:val="16"/>
              </w:rPr>
              <w:br w:type="textWrapping"/>
            </w:r>
            <w:r>
              <w:rPr>
                <w:color w:val="000000"/>
                <w:kern w:val="0"/>
                <w:sz w:val="16"/>
                <w:szCs w:val="16"/>
              </w:rPr>
              <w:t>文秘</w:t>
            </w:r>
            <w:r>
              <w:rPr>
                <w:color w:val="000000"/>
                <w:kern w:val="0"/>
                <w:sz w:val="16"/>
                <w:szCs w:val="16"/>
              </w:rPr>
              <w:br w:type="textWrapping"/>
            </w:r>
            <w:r>
              <w:rPr>
                <w:color w:val="000000"/>
                <w:kern w:val="0"/>
                <w:sz w:val="16"/>
                <w:szCs w:val="16"/>
              </w:rPr>
              <w:t>（专科）</w:t>
            </w:r>
          </w:p>
        </w:tc>
        <w:tc>
          <w:tcPr>
            <w:tcW w:w="1552" w:type="dxa"/>
            <w:vMerge w:val="restart"/>
            <w:tcBorders>
              <w:top w:val="single" w:color="000000" w:sz="4" w:space="0"/>
              <w:left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广东外语外贸大学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07489</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应用写作</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00776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档案学概论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08020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商务秘书学</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07786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国际商务</w:t>
            </w:r>
          </w:p>
        </w:tc>
      </w:tr>
      <w:tr>
        <w:tblPrEx>
          <w:tblLayout w:type="fixed"/>
          <w:tblCellMar>
            <w:top w:w="15" w:type="dxa"/>
            <w:left w:w="15" w:type="dxa"/>
            <w:bottom w:w="15" w:type="dxa"/>
            <w:right w:w="15" w:type="dxa"/>
          </w:tblCellMar>
        </w:tblPrEx>
        <w:trPr>
          <w:trHeight w:val="359" w:hRule="atLeast"/>
          <w:jc w:val="center"/>
        </w:trPr>
        <w:tc>
          <w:tcPr>
            <w:tcW w:w="1470" w:type="dxa"/>
            <w:vMerge w:val="continue"/>
            <w:tcBorders>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1552" w:type="dxa"/>
            <w:vMerge w:val="continue"/>
            <w:tcBorders>
              <w:left w:val="single" w:color="000000" w:sz="4" w:space="0"/>
              <w:bottom w:val="single" w:color="000000" w:sz="4" w:space="0"/>
              <w:right w:val="single" w:color="000000" w:sz="4" w:space="0"/>
            </w:tcBorders>
            <w:vAlign w:val="center"/>
          </w:tcPr>
          <w:p>
            <w:pPr>
              <w:widowControl/>
              <w:snapToGrid w:val="0"/>
              <w:spacing w:line="240" w:lineRule="exact"/>
              <w:jc w:val="center"/>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18960</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礼仪学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18961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财务管理与会计基础</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11520</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秘书事务管理</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18956</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法律事务管理</w:t>
            </w:r>
          </w:p>
        </w:tc>
      </w:tr>
      <w:tr>
        <w:tblPrEx>
          <w:tblLayout w:type="fixed"/>
          <w:tblCellMar>
            <w:top w:w="15" w:type="dxa"/>
            <w:left w:w="15" w:type="dxa"/>
            <w:bottom w:w="15" w:type="dxa"/>
            <w:right w:w="15" w:type="dxa"/>
          </w:tblCellMar>
        </w:tblPrEx>
        <w:trPr>
          <w:trHeight w:val="84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680503</w:t>
            </w:r>
            <w:r>
              <w:rPr>
                <w:color w:val="000000"/>
                <w:kern w:val="0"/>
                <w:sz w:val="16"/>
                <w:szCs w:val="16"/>
              </w:rPr>
              <w:br w:type="textWrapping"/>
            </w:r>
            <w:r>
              <w:rPr>
                <w:color w:val="000000"/>
                <w:kern w:val="0"/>
                <w:sz w:val="16"/>
                <w:szCs w:val="16"/>
              </w:rPr>
              <w:t>法律事务</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暨南大学</w:t>
            </w:r>
            <w:r>
              <w:rPr>
                <w:color w:val="000000"/>
                <w:kern w:val="0"/>
                <w:sz w:val="16"/>
                <w:szCs w:val="16"/>
              </w:rPr>
              <w:br w:type="textWrapping"/>
            </w:r>
            <w:r>
              <w:rPr>
                <w:color w:val="000000"/>
                <w:kern w:val="0"/>
                <w:sz w:val="16"/>
                <w:szCs w:val="16"/>
              </w:rPr>
              <w:t>广东财经大学</w:t>
            </w:r>
            <w:r>
              <w:rPr>
                <w:color w:val="000000"/>
                <w:kern w:val="0"/>
                <w:sz w:val="16"/>
                <w:szCs w:val="16"/>
              </w:rPr>
              <w:br w:type="textWrapping"/>
            </w: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5"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04577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中国通史</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690105</w:t>
            </w:r>
            <w:r>
              <w:rPr>
                <w:b/>
                <w:bCs/>
                <w:color w:val="000000"/>
                <w:kern w:val="0"/>
                <w:sz w:val="16"/>
                <w:szCs w:val="16"/>
              </w:rPr>
              <w:br w:type="textWrapping"/>
            </w:r>
            <w:r>
              <w:rPr>
                <w:b/>
                <w:bCs/>
                <w:color w:val="000000"/>
                <w:kern w:val="0"/>
                <w:sz w:val="16"/>
                <w:szCs w:val="16"/>
              </w:rPr>
              <w:t>公共关系#</w:t>
            </w:r>
            <w:r>
              <w:rPr>
                <w:b/>
                <w:bCs/>
                <w:color w:val="000000"/>
                <w:kern w:val="0"/>
                <w:sz w:val="16"/>
                <w:szCs w:val="16"/>
              </w:rPr>
              <w:br w:type="textWrapping"/>
            </w:r>
            <w:r>
              <w:rPr>
                <w:b/>
                <w:bCs/>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00638</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企业形象与策划（CIS）</w:t>
            </w: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223"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2301" w:type="dxa"/>
            <w:tcBorders>
              <w:top w:val="single" w:color="000000" w:sz="4" w:space="0"/>
              <w:left w:val="single" w:color="000000" w:sz="4" w:space="0"/>
              <w:bottom w:val="single" w:color="000000" w:sz="4" w:space="0"/>
              <w:right w:val="single" w:color="000000" w:sz="4" w:space="0"/>
            </w:tcBorders>
            <w:vAlign w:val="bottom"/>
          </w:tcPr>
          <w:p>
            <w:pPr>
              <w:widowControl/>
              <w:snapToGrid w:val="0"/>
              <w:spacing w:line="240" w:lineRule="exact"/>
              <w:rPr>
                <w:b/>
                <w:bCs/>
                <w:color w:val="000000"/>
                <w:sz w:val="16"/>
                <w:szCs w:val="16"/>
              </w:rPr>
            </w:pP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04577</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中国通史</w:t>
            </w:r>
          </w:p>
        </w:tc>
      </w:tr>
      <w:tr>
        <w:tblPrEx>
          <w:tblLayout w:type="fixed"/>
          <w:tblCellMar>
            <w:top w:w="15" w:type="dxa"/>
            <w:left w:w="15" w:type="dxa"/>
            <w:bottom w:w="15" w:type="dxa"/>
            <w:right w:w="15" w:type="dxa"/>
          </w:tblCellMar>
        </w:tblPrEx>
        <w:trPr>
          <w:trHeight w:val="434" w:hRule="atLeast"/>
          <w:jc w:val="center"/>
        </w:trPr>
        <w:tc>
          <w:tcPr>
            <w:tcW w:w="1470"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690202</w:t>
            </w:r>
            <w:r>
              <w:rPr>
                <w:color w:val="000000"/>
                <w:kern w:val="0"/>
                <w:sz w:val="16"/>
                <w:szCs w:val="16"/>
              </w:rPr>
              <w:br w:type="textWrapping"/>
            </w:r>
            <w:r>
              <w:rPr>
                <w:color w:val="000000"/>
                <w:kern w:val="0"/>
                <w:sz w:val="16"/>
                <w:szCs w:val="16"/>
              </w:rPr>
              <w:t>人力资源管理</w:t>
            </w:r>
            <w:r>
              <w:rPr>
                <w:color w:val="000000"/>
                <w:kern w:val="0"/>
                <w:sz w:val="16"/>
                <w:szCs w:val="16"/>
              </w:rPr>
              <w:br w:type="textWrapping"/>
            </w:r>
            <w:r>
              <w:rPr>
                <w:color w:val="000000"/>
                <w:kern w:val="0"/>
                <w:sz w:val="16"/>
                <w:szCs w:val="16"/>
              </w:rPr>
              <w:t>（专科）</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00164</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劳动经济学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00071</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社会保障概论</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00165</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劳动就业概论</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color w:val="000000"/>
                <w:sz w:val="16"/>
                <w:szCs w:val="16"/>
              </w:rPr>
            </w:pPr>
            <w:r>
              <w:rPr>
                <w:color w:val="000000"/>
                <w:kern w:val="0"/>
                <w:sz w:val="16"/>
                <w:szCs w:val="16"/>
              </w:rPr>
              <w:t>06183</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color w:val="000000"/>
                <w:sz w:val="16"/>
                <w:szCs w:val="16"/>
              </w:rPr>
            </w:pPr>
            <w:r>
              <w:rPr>
                <w:color w:val="000000"/>
                <w:kern w:val="0"/>
                <w:sz w:val="16"/>
                <w:szCs w:val="16"/>
              </w:rPr>
              <w:t>工资管理</w:t>
            </w:r>
          </w:p>
        </w:tc>
      </w:tr>
      <w:tr>
        <w:tblPrEx>
          <w:tblLayout w:type="fixed"/>
          <w:tblCellMar>
            <w:top w:w="15" w:type="dxa"/>
            <w:left w:w="15" w:type="dxa"/>
            <w:bottom w:w="15" w:type="dxa"/>
            <w:right w:w="15" w:type="dxa"/>
          </w:tblCellMar>
        </w:tblPrEx>
        <w:trPr>
          <w:trHeight w:val="160" w:hRule="atLeast"/>
          <w:jc w:val="center"/>
        </w:trPr>
        <w:tc>
          <w:tcPr>
            <w:tcW w:w="1470"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970201</w:t>
            </w:r>
            <w:r>
              <w:rPr>
                <w:b/>
                <w:bCs/>
                <w:color w:val="000000"/>
                <w:kern w:val="0"/>
                <w:sz w:val="16"/>
                <w:szCs w:val="16"/>
              </w:rPr>
              <w:br w:type="textWrapping"/>
            </w:r>
            <w:r>
              <w:rPr>
                <w:b/>
                <w:bCs/>
                <w:color w:val="000000"/>
                <w:kern w:val="0"/>
                <w:sz w:val="16"/>
                <w:szCs w:val="16"/>
              </w:rPr>
              <w:t>汉语言文学#</w:t>
            </w:r>
            <w:r>
              <w:rPr>
                <w:b/>
                <w:bCs/>
                <w:color w:val="000000"/>
                <w:kern w:val="0"/>
                <w:sz w:val="16"/>
                <w:szCs w:val="16"/>
              </w:rPr>
              <w:br w:type="textWrapping"/>
            </w:r>
            <w:r>
              <w:rPr>
                <w:b/>
                <w:bCs/>
                <w:color w:val="000000"/>
                <w:kern w:val="0"/>
                <w:sz w:val="16"/>
                <w:szCs w:val="16"/>
              </w:rPr>
              <w:t>（专科）</w:t>
            </w:r>
          </w:p>
        </w:tc>
        <w:tc>
          <w:tcPr>
            <w:tcW w:w="1552" w:type="dxa"/>
            <w:vMerge w:val="restart"/>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华南师范大学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11486</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中学心理学</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11350</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基础写作</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11493</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现代汉语(二)</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11485</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中学教育学</w:t>
            </w:r>
          </w:p>
        </w:tc>
      </w:tr>
      <w:tr>
        <w:tblPrEx>
          <w:tblLayout w:type="fixed"/>
          <w:tblCellMar>
            <w:top w:w="15" w:type="dxa"/>
            <w:left w:w="15" w:type="dxa"/>
            <w:bottom w:w="15" w:type="dxa"/>
            <w:right w:w="15" w:type="dxa"/>
          </w:tblCellMar>
        </w:tblPrEx>
        <w:trPr>
          <w:trHeight w:val="280" w:hRule="atLeast"/>
          <w:jc w:val="center"/>
        </w:trPr>
        <w:tc>
          <w:tcPr>
            <w:tcW w:w="1470"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155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rPr>
                <w:b/>
                <w:bCs/>
                <w:color w:val="000000"/>
                <w:sz w:val="16"/>
                <w:szCs w:val="16"/>
              </w:rPr>
            </w:pP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11495</w:t>
            </w:r>
          </w:p>
        </w:tc>
        <w:tc>
          <w:tcPr>
            <w:tcW w:w="222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古代汉语(二)</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11496</w:t>
            </w:r>
          </w:p>
        </w:tc>
        <w:tc>
          <w:tcPr>
            <w:tcW w:w="222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中小学语文教材教法</w:t>
            </w:r>
          </w:p>
        </w:tc>
        <w:tc>
          <w:tcPr>
            <w:tcW w:w="84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11494</w:t>
            </w:r>
          </w:p>
        </w:tc>
        <w:tc>
          <w:tcPr>
            <w:tcW w:w="2301"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古代汉语(一)</w:t>
            </w:r>
          </w:p>
        </w:tc>
        <w:tc>
          <w:tcPr>
            <w:tcW w:w="76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center"/>
              <w:textAlignment w:val="center"/>
              <w:rPr>
                <w:b/>
                <w:bCs/>
                <w:color w:val="000000"/>
                <w:sz w:val="16"/>
                <w:szCs w:val="16"/>
              </w:rPr>
            </w:pPr>
            <w:r>
              <w:rPr>
                <w:b/>
                <w:bCs/>
                <w:color w:val="000000"/>
                <w:kern w:val="0"/>
                <w:sz w:val="16"/>
                <w:szCs w:val="16"/>
              </w:rPr>
              <w:t>11492</w:t>
            </w:r>
          </w:p>
        </w:tc>
        <w:tc>
          <w:tcPr>
            <w:tcW w:w="229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exact"/>
              <w:jc w:val="left"/>
              <w:textAlignment w:val="center"/>
              <w:rPr>
                <w:b/>
                <w:bCs/>
                <w:color w:val="000000"/>
                <w:sz w:val="16"/>
                <w:szCs w:val="16"/>
              </w:rPr>
            </w:pPr>
            <w:r>
              <w:rPr>
                <w:b/>
                <w:bCs/>
                <w:color w:val="000000"/>
                <w:kern w:val="0"/>
                <w:sz w:val="16"/>
                <w:szCs w:val="16"/>
              </w:rPr>
              <w:t>现代汉语(一)</w:t>
            </w:r>
          </w:p>
        </w:tc>
      </w:tr>
    </w:tbl>
    <w:p>
      <w:pPr>
        <w:jc w:val="left"/>
        <w:rPr>
          <w:color w:val="000000"/>
          <w:kern w:val="0"/>
          <w:sz w:val="20"/>
          <w:szCs w:val="20"/>
        </w:rPr>
      </w:pPr>
      <w:r>
        <w:rPr>
          <w:color w:val="000000"/>
          <w:kern w:val="0"/>
          <w:sz w:val="20"/>
          <w:szCs w:val="20"/>
        </w:rPr>
        <w:t>说明：专业名称后加“#”为限期停考专业，不接受新生报名，停考过渡期内相关课程继续安排考试。</w:t>
      </w:r>
    </w:p>
    <w:p/>
    <w:p>
      <w:pPr>
        <w:snapToGrid w:val="0"/>
        <w:spacing w:line="560" w:lineRule="exact"/>
        <w:rPr>
          <w:rFonts w:eastAsia="黑体"/>
          <w:sz w:val="32"/>
          <w:szCs w:val="32"/>
          <w:shd w:val="clear" w:color="auto" w:fill="FFFFFF"/>
        </w:rPr>
      </w:pPr>
      <w:r>
        <w:rPr>
          <w:rFonts w:eastAsia="仿宋_GB2312"/>
          <w:sz w:val="28"/>
          <w:szCs w:val="32"/>
        </w:rPr>
        <w:br w:type="page"/>
      </w:r>
      <w:r>
        <w:rPr>
          <w:rFonts w:eastAsia="黑体"/>
          <w:sz w:val="32"/>
          <w:szCs w:val="32"/>
          <w:shd w:val="clear" w:color="auto" w:fill="FFFFFF"/>
        </w:rPr>
        <w:t>附件</w:t>
      </w:r>
      <w:r>
        <w:rPr>
          <w:rFonts w:hint="eastAsia" w:eastAsia="黑体"/>
          <w:sz w:val="32"/>
          <w:szCs w:val="32"/>
          <w:shd w:val="clear" w:color="auto" w:fill="FFFFFF"/>
        </w:rPr>
        <w:t>7</w:t>
      </w:r>
    </w:p>
    <w:p>
      <w:pPr>
        <w:widowControl/>
        <w:jc w:val="center"/>
        <w:textAlignment w:val="center"/>
        <w:rPr>
          <w:rFonts w:eastAsia="方正小标宋简体"/>
          <w:color w:val="000000"/>
          <w:kern w:val="0"/>
          <w:sz w:val="20"/>
          <w:szCs w:val="20"/>
        </w:rPr>
      </w:pPr>
      <w:r>
        <w:rPr>
          <w:rFonts w:eastAsia="方正小标宋简体"/>
          <w:sz w:val="32"/>
          <w:szCs w:val="32"/>
          <w:shd w:val="clear" w:color="auto" w:fill="FFFFFF"/>
        </w:rPr>
        <w:t>2023年1月广东省自学考试开考课程使用教材表</w:t>
      </w:r>
    </w:p>
    <w:tbl>
      <w:tblPr>
        <w:tblStyle w:val="11"/>
        <w:tblW w:w="14760" w:type="dxa"/>
        <w:jc w:val="center"/>
        <w:tblInd w:w="0" w:type="dxa"/>
        <w:tblLayout w:type="fixed"/>
        <w:tblCellMar>
          <w:top w:w="15" w:type="dxa"/>
          <w:left w:w="15" w:type="dxa"/>
          <w:bottom w:w="15" w:type="dxa"/>
          <w:right w:w="15" w:type="dxa"/>
        </w:tblCellMar>
      </w:tblPr>
      <w:tblGrid>
        <w:gridCol w:w="749"/>
        <w:gridCol w:w="937"/>
        <w:gridCol w:w="2577"/>
        <w:gridCol w:w="2788"/>
        <w:gridCol w:w="2562"/>
        <w:gridCol w:w="2862"/>
        <w:gridCol w:w="2285"/>
      </w:tblGrid>
      <w:tr>
        <w:tblPrEx>
          <w:tblLayout w:type="fixed"/>
          <w:tblCellMar>
            <w:top w:w="15" w:type="dxa"/>
            <w:left w:w="15" w:type="dxa"/>
            <w:bottom w:w="15" w:type="dxa"/>
            <w:right w:w="15" w:type="dxa"/>
          </w:tblCellMar>
        </w:tblPrEx>
        <w:trPr>
          <w:trHeight w:val="156" w:hRule="atLeast"/>
          <w:tblHeader/>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序号</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课程代码</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课程名称</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教材名称</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主编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b/>
                <w:color w:val="000000"/>
                <w:sz w:val="16"/>
                <w:szCs w:val="16"/>
              </w:rPr>
            </w:pPr>
            <w:r>
              <w:rPr>
                <w:rFonts w:eastAsia="等线"/>
                <w:b/>
                <w:color w:val="000000"/>
                <w:kern w:val="0"/>
                <w:sz w:val="16"/>
                <w:szCs w:val="16"/>
              </w:rPr>
              <w:t>版次</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00061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国家税收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国家税收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孙世强、韩东京</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00062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税收管理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税收管理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吴旭东、田雷</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00068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外国财政</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资本主义财政学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王传伦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00069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国际税收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国际税收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李久龙</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00071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社会保障概论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社会保障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赵曼、戴瑾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00079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保险学原理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保险学原理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张栓林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证券投资学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证券投资学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贝政新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复旦大学出版社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00164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劳动经济学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劳动经济学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杨河清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00165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劳动就业概论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就业与培训</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张小建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sz w:val="16"/>
                <w:szCs w:val="16"/>
              </w:rPr>
              <w:t>10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00174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建筑工程概论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建筑工程概论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旅游经济学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旅游经济学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林南枝、陶汉军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00188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甘朝有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1995年5月第1版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00191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旅行社经营与管理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旅行社经营与管理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杜江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00192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旅游市场学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旅游市场学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林南枝</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00194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旅游法规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旅游法教程（第2版）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韩玉灵</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2004年9月第2版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00229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证据法学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证据法学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江伟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00266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社会心理学（一）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郑雪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暨南大学出版社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00276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人类成长与环境</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人类行为与社会环境</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汪新建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天津人民出版社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00278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社会统计学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社会统计学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卢淑华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2009年11月第4版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00279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团体社会工作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团体社会工作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陈钟林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中国时代经济出版社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00280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西方社会学理论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西方社会学理论教程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侯钧生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2010年7月第3版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00281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社区社会工作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社区社会工作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社会科学文献出版社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00282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个案社会工作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个案工作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隋玉杰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00283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社会行政</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社会工作行政</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曾群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00285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中国福利思想</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现代社会福利思想</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钱宁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00294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劳动社会学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劳动社会学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00324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人事管理学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现代人事管理学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潘文庆</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00383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梁志燊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00384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陈帼眉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00386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幼儿文学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幼儿文学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祝士媛、张美妮</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吉林大学出版社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00388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学前儿童数学教育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学前儿童数学教育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张慧和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学前教育科学研究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学前教育科学研究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杨爱华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南京师范大学出版社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00390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学前儿童科学教育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学前儿童科学教育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廖丽英</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学前儿童语言教育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学前儿童语言教育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周兢</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00396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学前儿童美术教育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学前儿童美术教育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屠美如</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学前儿童音乐教育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学前儿童音乐教育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许卓娅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00399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学前游戏论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学前游戏论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丁海东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学前儿童家庭教育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学前儿童家庭教育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李洪曾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00442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教育学（二）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现代教育学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扈中平、李方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00448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学校管理学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学校管理学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杨颖秀等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00459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柯佑祥</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华东师范大学出版社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00463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现代人员测评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人员测评理论与方法（第二版）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萧鸣政等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00471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认知心理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认知心理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高玉祥</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00486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运动生理学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运动生理学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全国统编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人民体育出版社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1990年6月第1版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00497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运动训练学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运动训练学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全国统编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人民体育出版社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1990年6月第1版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00501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体育史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体育史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全国统编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人民体育出版社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1989年6月第1版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00502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体育管理学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体育管理学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全国统编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人民体育出版社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1989年6月第1版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00504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艺术概论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艺术概论（第二版）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孙美兰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00601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日语翻译</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新编日汉翻译教程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庞春兰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1998年3月第一版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00605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基础日语（一）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日本语[1-2]</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黄仁贵编译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山西人民出版社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1997年3月第3版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00606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基础日语（二）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标准日语中级教程（上册）</w:t>
            </w:r>
            <w:r>
              <w:rPr>
                <w:rFonts w:eastAsia="等线"/>
                <w:color w:val="000000"/>
                <w:kern w:val="0"/>
                <w:sz w:val="16"/>
                <w:szCs w:val="16"/>
              </w:rPr>
              <w:br w:type="textWrapping"/>
            </w:r>
            <w:r>
              <w:rPr>
                <w:rFonts w:eastAsia="等线"/>
                <w:color w:val="000000"/>
                <w:kern w:val="0"/>
                <w:sz w:val="16"/>
                <w:szCs w:val="16"/>
              </w:rPr>
              <w:t>标准日语中级教程（下册）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张慧明、刘小珊(上册)</w:t>
            </w:r>
            <w:r>
              <w:rPr>
                <w:rFonts w:eastAsia="等线"/>
                <w:color w:val="000000"/>
                <w:kern w:val="0"/>
                <w:sz w:val="16"/>
                <w:szCs w:val="16"/>
              </w:rPr>
              <w:br w:type="textWrapping"/>
            </w:r>
            <w:r>
              <w:rPr>
                <w:rFonts w:eastAsia="等线"/>
                <w:color w:val="000000"/>
                <w:kern w:val="0"/>
                <w:sz w:val="16"/>
                <w:szCs w:val="16"/>
              </w:rPr>
              <w:t>张慧明、黎珂（下册）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2003年8月第1版</w:t>
            </w:r>
            <w:r>
              <w:rPr>
                <w:rFonts w:eastAsia="等线"/>
                <w:color w:val="000000"/>
                <w:kern w:val="0"/>
                <w:sz w:val="16"/>
                <w:szCs w:val="16"/>
              </w:rPr>
              <w:br w:type="textWrapping"/>
            </w:r>
            <w:r>
              <w:rPr>
                <w:rFonts w:eastAsia="等线"/>
                <w:color w:val="000000"/>
                <w:kern w:val="0"/>
                <w:sz w:val="16"/>
                <w:szCs w:val="16"/>
              </w:rPr>
              <w:t>2005年3月第1版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00607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日语语法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精修日本语文法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王信</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00608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日本国概况</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日本国家概况</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刘笑明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00609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高级日语（一）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日语（第7册）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陈生保、胡国伟、陈华洁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1987年8月第1版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00610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高级日语（二）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日语（第8册）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陈生保、胡国伟、陈华洁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1987年12月第1版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00611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日语句法篇章法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日语句法研究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陈访泽</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00612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日本文学选读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日本文学作品选读</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00634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广告策划</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广告策划</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马春辉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59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00635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广告法规与管理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广告法规与管理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李明伟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2009第1月第1版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00636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广告心理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马谋超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中国市场出版社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00637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广告媒体分析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广告媒体分析课程辅导</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聂艳梅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2004.9第一版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00638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企业形象与策划（CIS）</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企业形象与策划</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孙国辉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00639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广播电视广告</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广播电视广告</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何建平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00640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平面广告设计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平面广告设计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2004.2第一版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00641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中外广告史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中外广告史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陈培爱</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中国物价出版社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2002·8第二版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00677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服装材料</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现代服装材料学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周璐英、吕逸华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00683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服装市场与营销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服装市场营销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刘小红、刘东、陈学军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2008年4月第3版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00732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简明配器法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管弦乐法基础教程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69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00744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美术鉴赏</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中国美术史及作品鉴赏</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皮道坚</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1997年7月第1版</w:t>
            </w:r>
          </w:p>
        </w:tc>
      </w:tr>
      <w:tr>
        <w:tblPrEx>
          <w:tblLayout w:type="fixed"/>
          <w:tblCellMar>
            <w:top w:w="15" w:type="dxa"/>
            <w:left w:w="15" w:type="dxa"/>
            <w:bottom w:w="15" w:type="dxa"/>
            <w:right w:w="15" w:type="dxa"/>
          </w:tblCellMar>
        </w:tblPrEx>
        <w:trPr>
          <w:trHeight w:val="343"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00745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中国画论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中国古代画论发展史实</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李来源等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00747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美术教育学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美术教育学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尹少淳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00776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档案学概论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档案管理学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冯惠玲</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1999年12月第1版</w:t>
            </w:r>
          </w:p>
        </w:tc>
      </w:tr>
      <w:tr>
        <w:tblPrEx>
          <w:tblLayout w:type="fixed"/>
          <w:tblCellMar>
            <w:top w:w="15" w:type="dxa"/>
            <w:left w:w="15" w:type="dxa"/>
            <w:bottom w:w="15" w:type="dxa"/>
            <w:right w:w="15" w:type="dxa"/>
          </w:tblCellMar>
        </w:tblPrEx>
        <w:trPr>
          <w:trHeight w:val="433"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00796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商务英语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新编剑桥商务英语（初级）</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(英）Cook，R.</w:t>
            </w:r>
            <w:r>
              <w:rPr>
                <w:rFonts w:eastAsia="等线"/>
                <w:color w:val="000000"/>
                <w:kern w:val="0"/>
                <w:sz w:val="16"/>
                <w:szCs w:val="16"/>
              </w:rPr>
              <w:br w:type="textWrapping"/>
            </w:r>
            <w:r>
              <w:rPr>
                <w:rFonts w:eastAsia="等线"/>
                <w:color w:val="000000"/>
                <w:kern w:val="0"/>
                <w:sz w:val="16"/>
                <w:szCs w:val="16"/>
              </w:rPr>
              <w:t>(英)Pedretti，M.</w:t>
            </w:r>
            <w:r>
              <w:rPr>
                <w:rFonts w:eastAsia="等线"/>
                <w:color w:val="000000"/>
                <w:kern w:val="0"/>
                <w:sz w:val="16"/>
                <w:szCs w:val="16"/>
              </w:rPr>
              <w:br w:type="textWrapping"/>
            </w:r>
            <w:r>
              <w:rPr>
                <w:rFonts w:eastAsia="等线"/>
                <w:color w:val="000000"/>
                <w:kern w:val="0"/>
                <w:sz w:val="16"/>
                <w:szCs w:val="16"/>
              </w:rPr>
              <w:t>(英)Stephenson，H.</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经济科学出版社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企业组织与环境</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企业组织与环境</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邬文兵</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00798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商务交流</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商务交流</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刘岭</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00799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数量方法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数量方法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李宝仁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经济学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经济学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赵玉焕</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赵西卜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79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管理信息技术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管理信息技术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魏振华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陈守忠</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金融法（二）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管晓峰、闫宝龙</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管理会计（二）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管理会计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武羿</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财务报表分析（二）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财务报表分析</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李晓梅、白蔚秋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龙菊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许冰梅、郑云瑞</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00809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市场营销（二）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市场营销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黄桂芝</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00810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人力资源管理（二）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人力资源管理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邱伟年</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00811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国际贸易实务（二）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国际贸易实务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董瑾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89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00814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中国古代文论选读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古代文论名篇选读</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韩湖初、陈良运</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中国书籍出版社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现代汉语语法研究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现代汉语语法学（增订本）</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傅雨贤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1994年4月第1次修订</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00840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第二外语（日语）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日语入门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杨拙人、下泽胜井</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广州外语音像出版社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2002年6月第3版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00841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第二外语（法语）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简明法语教程(上下册)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商务印书馆</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1991年4月第1版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00843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日语阅读（一）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新编日语阅读文选（第一册）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陆静华、季林根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00844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日语阅读（二）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新编日语阅读文选（第二册）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陆静华、季林根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2003年8月第1版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00845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第二外语（英语）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大学英语自学教程（上、下册）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1999年12月第2版(上册)</w:t>
            </w:r>
            <w:r>
              <w:rPr>
                <w:rFonts w:eastAsia="等线"/>
                <w:color w:val="000000"/>
                <w:kern w:val="0"/>
                <w:sz w:val="16"/>
                <w:szCs w:val="16"/>
              </w:rPr>
              <w:br w:type="textWrapping"/>
            </w:r>
            <w:r>
              <w:rPr>
                <w:rFonts w:eastAsia="等线"/>
                <w:color w:val="000000"/>
                <w:kern w:val="0"/>
                <w:sz w:val="16"/>
                <w:szCs w:val="16"/>
              </w:rPr>
              <w:t>1998年6月第2版(下册)</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00850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广告设计基础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视觉传达设计基础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陈振旺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00851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广告文案写作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广告方案写作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胡晓芸</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浙江大学出版社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1998.12第一版</w:t>
            </w:r>
          </w:p>
        </w:tc>
      </w:tr>
      <w:tr>
        <w:tblPrEx>
          <w:tblLayout w:type="fixed"/>
          <w:tblCellMar>
            <w:top w:w="15" w:type="dxa"/>
            <w:left w:w="15" w:type="dxa"/>
            <w:bottom w:w="15" w:type="dxa"/>
            <w:right w:w="15" w:type="dxa"/>
          </w:tblCellMar>
        </w:tblPrEx>
        <w:trPr>
          <w:trHeight w:val="218"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00881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学前教育科学研究与论文写作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学前教育科学研究与论文写作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杨丽珠</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99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00883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学前特殊儿童教育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学前特殊儿童教育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周兢</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00884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学前教育行政与管理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学前教育行政与管理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张燕、闫水晶</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00885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学前教育诊断与咨询</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学前教育诊断与咨询</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顾荣芳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辽宁师范大学出版社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00886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学前儿童心理卫生与辅导</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学前儿童心理卫生与辅导</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朱家雄</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00887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儿童文学名著导读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儿童文学名著导读</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王泉根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00944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审计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审计学基础（第三版）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王守龙、王珠强、杨玉龙</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2011年4月第3版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00974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统计学原理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统计学原理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范文正、林洪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2002年11月1版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00988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食品营养学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食品营养学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刘开华、王荣荣</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中国科学技术出版社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00999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政府预算管理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政府预算管理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李燕</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01001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物流案例与实训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物流案例与实训（第二版）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李联卫</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01094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机械原理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孙桓、陈作模、葛文杰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2013年4月第8版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01095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宋宝玉、王黎钦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01097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几何量公差与检测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互换性与技术测量</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廖念钊、古莹菴、莫雨松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中国计量出版社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2011年2月第5版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01099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机械制造技术基础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机械制造技术基础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于骏一、邹青</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01100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计算机辅助工程软件（UG）</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UG NX6中文版应用与实例教程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黎震、刘磊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01102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机电传动与控制技术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机电传动控制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张志义、孙蓓</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01281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中国教育史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中国教育史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张传燧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01282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外国教育史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外国教育史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贺国庆、于洪波、朱文富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01457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企业应用文写作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应用文写作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王英杰、范德峰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01757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药物分析（三）</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药物分析</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刘文英</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2003.6五版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01759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药物化学（二）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药物化学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郑虎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2003.6五版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01761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药剂学（二）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药剂学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崔福德</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2003.7五版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sz w:val="16"/>
                <w:szCs w:val="16"/>
              </w:rPr>
              <w:t>121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01763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药事管理学（二）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药事管理学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吴蓬</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2003三版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sz w:val="16"/>
                <w:szCs w:val="16"/>
              </w:rPr>
              <w:t>122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01832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机械测试技术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汽车工程测试技术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麻友良</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2016年8月第1版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01891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车身工程应用数学基础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大学数学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范远泽</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02018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数学教育学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小学数学教学论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马云鹏等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02051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物理化学（二）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物理化学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侯新朴、詹先成</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2003.5五版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02064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无机及分析化学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无机化学与分析化学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林培喜、朱玲</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哈尔滨工程大学出版社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02066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有机化学（二）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有机化学（第四版）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高鸿宾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2005年5月第4版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02087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分子生物学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药学分子生物学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史济平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2003.7二版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02108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实验心理学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实验心理学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孟庆茂、常建华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1999年5月第一版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02182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文献检索</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社会科学文献检索与利用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王立诚</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02209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机械制造装备设计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机械制造装备设计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冯辛安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02225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电机与拖动基础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电机及拖动基础（上下册）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顾绳谷</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1999年10月第2版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02269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电工原理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电工学（上册  电工技术）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林珊、陈国鼎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02286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电力电子技术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电力电子技术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王兆安、黄俊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2003年2月4版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检测与转换技术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电气测试技术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林德杰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02294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微机控制技术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微型计算机控制技术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于海生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电力拖动自动控制系统</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电力拖动自动控制系统</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陈伯时</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02299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工业自动化仪表与过程控制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过程控制仪表及控制系统</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林德杰等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2012年6月第2版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139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02358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单片机原理及应用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MCS-51系列微型计算机及其应用(第3版)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孙育才</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东南大学</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2004年6月第4版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02365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计算机软件基础（二）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计算机软件技术基础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徐士良、葛兵</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2010年9月第3版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02376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信息系统开发</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信息系统开发---方法、案例与实验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郝晓玲、韩冬梅、韩松乔</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02394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房屋建筑学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房屋建筑学（第4版）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李必瑜、王雪松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2012年6月第4版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02471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环境生态学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环境生态学（第二版）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李洪远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02472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环境质量评价</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环境评价教程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徐新阳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02489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化工设计概论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化工设计（第三版）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陈声宗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2014年2月第3版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02519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食品营养与卫生</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食品营养与卫生安全）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凌强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02585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模拟电子技术基础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线性电子电路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吴运昌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华南理工大学出版社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02600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C语言程序设计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C语言程序设计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孙家啸、欧阳民等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149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02655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建筑施工（二）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建筑施工</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方先和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1992年1月第1版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02827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农村企事业会计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农业企事业会计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梁星维</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广东高教出版社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03049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数理统计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医药数理统计方法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祝国强、刘庆欧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2004.7一版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03122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电子信息技术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电子技术基础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范娟、张新建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03172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农业经济学（二）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农业经济与管理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咸春龙</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广东高教出版社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建筑力学与结构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建筑力学与建筑结构</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刘丽华、王晓天</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中国电力出版社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2008年5月第2版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03305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城市规划原理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城市规划原理（第三版）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王克强、石忆邵、刘红梅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2015年1月第3版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03312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劳动和社会保障概论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社会保障概论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郑功成</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复旦大学出版社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公共事业管理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公共事业管理概论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朱仁显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03335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公共管理学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公共管理学引论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张钢著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浙江大学出版社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159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03339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信息化理论与实践</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信息资源组织与管理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陈庄、刘加伶</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03346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项目管理教程新编</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关老健</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中山大学出版社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03361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企业物流</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企业物流管理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黄由衡</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2012年9月版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03364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供应链物流学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物流学概论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周启蕾</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2013年5月第3版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03365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物流运输管理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物流运输组织与管理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王述英</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03372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团体心理辅导</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团体咨询治疗与团体训练</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2003年12月第一版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03395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数控机床故障诊断与维护</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数控机床调试与维修</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李继中</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03403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国有资产管理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国有资产管理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祁军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03483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发动机原理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汽车拖拉机发动机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董敬、庄志、常思勤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2008年6月3版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03517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心理健康教育课程设计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中小学心理健康教育课程设计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曹梅静、王玲</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2004年6月第一版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169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03518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特殊儿童心理与教育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特殊儿童心理健康教育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何侃等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江苏大学出版社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03519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心理测评技术与档案建立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中小学生心理测评与心理档案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陈雪枫、刘科荣、宇斌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暨南大学出版社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1997年8月第一版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03529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国际旅游饭店管理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饭店管理概论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粱玉社、白毅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采购与供应谈判</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采购谈判与采购方式</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王刚、刘鹤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2016年2月第1版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采购环境</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供应链管理与企业采购</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魏国辰、温卫娟、张莹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中国发展出版社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采购与供应关系管理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采购成本控制与供应商管理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2016年1月第二版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采购法务与合同管理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采购、供应法务与合同管理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经济科学出版社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采购绩效管理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物流成本与供应链绩效管理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宋华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人民邮电出版社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2007年1月第一版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采购与供应链案例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采购与供应链案例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王刚</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2017年9月第1版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采购项目管理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项目采购管理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吴守荣等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179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运作管理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生产与运作管理（第三版）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陈荣秋、马士华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03631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液压与气压传动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液压与气压传动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王积伟、章宏甲、黄谊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03702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会计制度设计与比较</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会计制度设计（第二版）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孙光国、陈艳利、刘英明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03703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国际会计与审计准则</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国际会计准则与惯例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张学谦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对外经济贸易大学出版社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03823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建筑制图</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建筑制图</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何斌、陈锦昌、王枫红</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2014年3月第7版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03902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服装发展简史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中外服装史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黄能馥等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湖北美术出版社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2002年3月1版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03904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服装生产管理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服装生产管理（第二版）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宋惠景、万志琴</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03905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服装企业督导管理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服装企业督导管理(第2版)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刘小红</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2009年9月第2版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03906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服装品质管理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服装品质管理（第2版）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万志琴、宋惠景、张小良</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03907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西洋服装史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西洋服装史（第二版）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李当歧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03908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服装材料学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服装材料学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王革辉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03910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服装工业工程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基础工业工程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易树平、郭伏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03911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服装国际贸易</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服装国际贸易概论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陈学军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03915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服装连锁店管理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服装零售概论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刘小红、林松涛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03916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服装消费心理学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服装心理学概论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赵平、吕逸华、蒋玉秋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2004年11月第2版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服饰流行分析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服装流行趋势调查与预测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吴晓菁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服装市场调查与分析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服装市场调查与预测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余建春、方勇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03920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服装商品检验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出口服装商检实务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陈学军、陈霞</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03921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服装专业英语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实用服装专业英语</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张小良等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04026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设计美学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艺术设计与美学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刘子川等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04037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施工技术与组织</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土木工程施工</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童华炜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04138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旅游文化</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中国旅游文化与民俗文化</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林正秋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浙江人民出版社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tLeast"/>
              <w:jc w:val="center"/>
              <w:rPr>
                <w:rFonts w:eastAsia="等线"/>
                <w:b/>
                <w:color w:val="FF0000"/>
                <w:sz w:val="16"/>
                <w:szCs w:val="16"/>
              </w:rPr>
            </w:pP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04154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项目采购管理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项目采购管理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吴守荣等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2009年8月第1版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04228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建设工程工程量清单计价实务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工程量清单计价实务教程——房屋建筑工程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周志华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04229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项目决策分析与评价</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建筑工程经济与项目管理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李慧民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冶金工业出版社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04230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建设监理导论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工程建设监理（第三版）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詹炳根、殷为民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2007年12月第3版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建筑工程合同（含FIDIC)条款</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工程招投标与合同管理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刘黎虹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2015年7月第3版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04265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社会心理学：原理与应用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申荷永</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暨南大学出版社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1999年9月第一版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04267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学习心理与辅导</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中小学生学习辅导</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刘学兰、何先友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2004年6月第一版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04269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人格心理学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人格心理学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郑雪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2004年8月第一版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04366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曲式与作品分析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曲式分析基础教程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高为杰等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环境化学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环境化学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戴树桂</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固体废物管理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固体废物管理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何品晶、邵立明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大气污染控制技术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大气污染控制工程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郭静、阮宜纶</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水污染控制工程（一）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水污染控制技术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王金梅、薛叙明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环境微生物学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环境微生物学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乐毅全、王士芬</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环境工程导论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环境工程概论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朱蓓丽</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环境规划与管理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环境规划学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郭怀成等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城市生态与环境学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城市生态环境学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杨士弘</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2003年2月第二版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04529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环境地学基础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环境地学原理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李天杰等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219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04530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环境仪器分析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分析仪器操作技术与维护</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黄一石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微观经济学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微观经济学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咸春龙</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2002年7月一版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04532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财务会计专题</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高级财务会计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王维祝、谢瑞峰、郭继宏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经济科学出版社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2003年9月一版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04533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管理与成本会计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成本管理会计学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杨修发、朱启明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西南财经大学出版社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2002年8月一版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04534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财政与农村金融</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财政与农村金融（第二版）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邹帆</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华南理工大学出版社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2003年4月二版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04540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写作基础与应用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写作基础与应用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黄新荣</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2002年9月第2版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04547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楼宇智能化技术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楼宇智能化技术（第2版）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张振昭、许锦标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04549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微机原理及应用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微型计算机原理与应用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许立梓</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04577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中国通史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中国通史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王连生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中央电大出版社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1993年7月第1版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04579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中学语文教学法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中学语文课程与教学论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陈建伟等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暨南大学出版社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229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04762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金融学概论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刘玉平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复旦大学出版社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04884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化工技术经济</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化工技术经济（第三版）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宋航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04912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汽车电子控制技术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汽车电子控制技术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凌永成、于京诺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05034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旅游地理学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中国旅游地理（第3版）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庞规荃</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2003年7月第3版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05041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环境学原理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环境科学基础教程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郭怀成等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中国环境科学出版社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2003年5月第二版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05044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化学反应工程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化学反应工程（第二版）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梁斌、段天平、唐盛伟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2010年2月第2版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05048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石油炼制工程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石油炼制工艺学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沈本贤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中国石化出版社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05058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管理数量方法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管理数量方法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周禄新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西北工业大学出版</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05060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项目范围管理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项目范围管理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赵涛、潘欣鹏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中国纺织出版社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05061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项目成本管理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项目成本管理（第2版）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2009年11月第2版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239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05062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项目质量管理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项目质量管理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王祖和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05063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项目时间管理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项目计划与控制（第2版）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卢向南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05066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项目论证与评估</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项目论证与评估（第2版）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戚安邦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2009年2月第2版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05067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项目管理案例分析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项目管理案例教程（第2版）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白思俊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2009年2月第2版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05171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中小企业战略管理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中小企业战略管理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彭璧玉、王忠、罗双发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05175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税收筹划</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税收筹划（第五版）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计金标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2014年6月第5版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05187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中学英语教学法（小教）</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英语教学法教程理论与实践</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何广铿</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暨南大学出版社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05355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商务英语翻译</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商务英语翻译（英译汉）</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张新红、李明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2003年1月第1版</w:t>
            </w:r>
          </w:p>
        </w:tc>
      </w:tr>
      <w:tr>
        <w:tblPrEx>
          <w:tblLayout w:type="fixed"/>
          <w:tblCellMar>
            <w:top w:w="15" w:type="dxa"/>
            <w:left w:w="15" w:type="dxa"/>
            <w:bottom w:w="15" w:type="dxa"/>
            <w:right w:w="15" w:type="dxa"/>
          </w:tblCellMar>
        </w:tblPrEx>
        <w:trPr>
          <w:trHeight w:val="433"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05439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商务英语阅读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新编商务英语泛读（2）</w:t>
            </w:r>
            <w:r>
              <w:rPr>
                <w:rFonts w:eastAsia="等线"/>
                <w:color w:val="000000"/>
                <w:kern w:val="0"/>
                <w:sz w:val="16"/>
                <w:szCs w:val="16"/>
              </w:rPr>
              <w:br w:type="textWrapping"/>
            </w:r>
            <w:r>
              <w:rPr>
                <w:rFonts w:eastAsia="等线"/>
                <w:color w:val="000000"/>
                <w:kern w:val="0"/>
                <w:sz w:val="16"/>
                <w:szCs w:val="16"/>
              </w:rPr>
              <w:t>新编商务英语泛读（3）</w:t>
            </w:r>
            <w:r>
              <w:rPr>
                <w:rFonts w:eastAsia="等线"/>
                <w:color w:val="000000"/>
                <w:kern w:val="0"/>
                <w:sz w:val="16"/>
                <w:szCs w:val="16"/>
              </w:rPr>
              <w:br w:type="textWrapping"/>
            </w:r>
            <w:r>
              <w:rPr>
                <w:rFonts w:eastAsia="等线"/>
                <w:color w:val="000000"/>
                <w:kern w:val="0"/>
                <w:sz w:val="16"/>
                <w:szCs w:val="16"/>
              </w:rPr>
              <w:t>新编商务英语泛读（4）</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吴长镛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2004年8月第1版</w:t>
            </w:r>
            <w:r>
              <w:rPr>
                <w:rFonts w:eastAsia="等线"/>
                <w:color w:val="000000"/>
                <w:kern w:val="0"/>
                <w:sz w:val="16"/>
                <w:szCs w:val="16"/>
              </w:rPr>
              <w:br w:type="textWrapping"/>
            </w:r>
            <w:r>
              <w:rPr>
                <w:rFonts w:eastAsia="等线"/>
                <w:color w:val="000000"/>
                <w:kern w:val="0"/>
                <w:sz w:val="16"/>
                <w:szCs w:val="16"/>
              </w:rPr>
              <w:t>2005年2月第1版</w:t>
            </w:r>
            <w:r>
              <w:rPr>
                <w:rFonts w:eastAsia="等线"/>
                <w:color w:val="000000"/>
                <w:kern w:val="0"/>
                <w:sz w:val="16"/>
                <w:szCs w:val="16"/>
              </w:rPr>
              <w:br w:type="textWrapping"/>
            </w:r>
            <w:r>
              <w:rPr>
                <w:rFonts w:eastAsia="等线"/>
                <w:color w:val="000000"/>
                <w:kern w:val="0"/>
                <w:sz w:val="16"/>
                <w:szCs w:val="16"/>
              </w:rPr>
              <w:t>2005年9月第1版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05440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商务英语写作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新编商务英语写作（1）</w:t>
            </w:r>
            <w:r>
              <w:rPr>
                <w:rFonts w:eastAsia="等线"/>
                <w:color w:val="000000"/>
                <w:kern w:val="0"/>
                <w:sz w:val="16"/>
                <w:szCs w:val="16"/>
              </w:rPr>
              <w:br w:type="textWrapping"/>
            </w:r>
            <w:r>
              <w:rPr>
                <w:rFonts w:eastAsia="等线"/>
                <w:color w:val="000000"/>
                <w:kern w:val="0"/>
                <w:sz w:val="16"/>
                <w:szCs w:val="16"/>
              </w:rPr>
              <w:t>新编商务英语写作（2）</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张春柏等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2005年2月第1版</w:t>
            </w:r>
            <w:r>
              <w:rPr>
                <w:rFonts w:eastAsia="等线"/>
                <w:color w:val="000000"/>
                <w:kern w:val="0"/>
                <w:sz w:val="16"/>
                <w:szCs w:val="16"/>
              </w:rPr>
              <w:br w:type="textWrapping"/>
            </w:r>
            <w:r>
              <w:rPr>
                <w:rFonts w:eastAsia="等线"/>
                <w:color w:val="000000"/>
                <w:kern w:val="0"/>
                <w:sz w:val="16"/>
                <w:szCs w:val="16"/>
              </w:rPr>
              <w:t>2006年3月第1版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249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05442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日语语言学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日本语言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徐一平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05443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日本社会文化</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日本文化</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2001年3月第1版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05522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有机化学（五）</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有机化学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倪沛洲</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2003五版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05524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药用植物与生药学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药用植物学与生药学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郑汉臣、蔡少青</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2003四版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05580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环境保护</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环境导论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王淑莹、高春娣</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05710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多媒体技术应用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多媒体应用基础（第4版）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刘甘娜、翟华伟、崔立成</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2008年6月第4版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05724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公共卫生管理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公共卫生事业管理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周庆行、周立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重庆大学出版社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05725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文化管理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文化管理学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娄成武、孙萍</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05726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国土资源管理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土地资源管理学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王万茂</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05727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采购原理与战略</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郑秀恋、赵秀艳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259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05729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国际物流</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国际物流（第2版）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王任祥</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浙江大学出版社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2005年4月第2版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05730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采购环境与供应市场分析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国际采购理论与实务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胡军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中国物资出版社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采购绩效测量与商业分析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采购组织与绩效管理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邓明荣、冯毅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中国物资出版社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05732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采购过程与合同管理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项目采购与合同管理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乌云娜等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05785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数控原理与数控技术运用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机床数控技术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胡占齐、杨莉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2014年2月第3版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05838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汽车故障分析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汽车故障诊断方法与维修技术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李春明、刘艳莉、张军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2013年1月第3版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05913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汽车维修技术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汽车维修工程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王耀斌、宋年秀</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05946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关系数据库原理与程序设计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Access 2007 数据库应用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科教工作室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05951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心理与教育统计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教育与心理统计学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张敏强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2002年11月第二版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05963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绩效管理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绩效管理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269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06010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旅游英语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旅游英语</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石民辉、潘桂君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中国物资出版社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06042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日语写作教程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于日平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06069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审计学原理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现代审计学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2003年9月一版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06087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工程项目管理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工程项目管理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赵永任、李一凡</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中国水利水电出版社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06092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工作分析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工作分析理论与应用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李永杰、李强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06093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人力资源开发与管理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人力资源开发与管理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刘善敏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06123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导游学概论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导游概论（第3版）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徐堃耿</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2004年9月第3版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06183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工资管理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薪酬管理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朱琪、王忠</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2015年版3月第1版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06270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技术经济学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农业技术经济学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牛宝俊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2002年11月一版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06289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工程招标与合同管理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建设工程招投标及合同管理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梅阳春、邹辉霞</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279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06393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土木工程概论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土木工程概论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沈祖炎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06422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英语语言学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新编简明英语语言学教程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戴炜栋、何兆熊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06743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运动医学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运动医学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全国统编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人民体育出版社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1990年6月第1版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06831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药理学（四）</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药理学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李端、殷明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人民卫生出版社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2003.5五版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06893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汽车构造</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汽车构造（上、下）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陈家瑞</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2008年4月第2版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06898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汽车运用工程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汽车运用工程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许洪国</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人民交通出版社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2014年10月第5版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06936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建筑法规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建设法律制度及实例精选</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佘立中</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华南理工大学出版社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06955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中国音乐史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中国音乐通史简编</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孙继南等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山东教育出版社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1993年5月第1版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06962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工程造价确定与控制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工程造价确定与控制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吴学伟、谭德精、李江涛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重庆大学出版社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2012年10月第6版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07006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供应链与企业物流管理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现代物流与供应链管理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吴健</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289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07008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采购与仓储管理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采购与仓储管理实务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耿波、聂强大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07031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物流管理概论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物流学导论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沈小平、卢少平、聂伟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华中科技大学出版社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07032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运输与配送</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配送管理（第2版）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汝宜红、宋伯慧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07037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信息技术与物流管理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信息技术与物流管理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彭扬、傅培华、陈杰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中国物资出版社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07072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企业形象设计（CIS）</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现代企业形象设计（CIS）</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王军元、方世南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苏州大学出版社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07114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现代物流学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现代物流学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冯晖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07250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投资学原理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投资学（第四版）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郎荣燊、裘国根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2014年7月第4版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07353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管理学原理（一）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崔生祥、周鸿、魏想明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07374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高级英语(一)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新编英语教程(第5册)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李观仪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07481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管理学基础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管理学基础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汪凤桂、曾征民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299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07484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社会保障学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社会保障理论与实践</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马斌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07489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应用写作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应用写作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诸孝正、陈妙云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广东高教出版社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07492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农村政策法规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农村政策与法规</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周建华、陈亚平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华南理工大学出版社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07541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服饰文化</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服装学概论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李当歧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07564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唐宋词研究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唐宋名家词导读（新编）</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彭玉平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中山大学出版社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07724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物流系统工程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物流系统工程（第3版）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王长琼</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中国财富出版社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2014年9月第3版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07725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物流规划</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物流系统规划与设计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张丽、郝勇、黄建伟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07729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仓储技术和库存理论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现代仓储物流技术与装备</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张晓川</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07759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Visual Basic程序设计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Visual Basic程序设计教程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刘炳文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2009年11月第4版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07786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国际商务－理论与实务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王建华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                         北京交通大学出版社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309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会计学原理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会计学原理与应用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左两军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广东高教出版社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07788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国际结算</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国际结算（第三版）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庞红、尹继红、沈瑞年</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07798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商品学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商品学概论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万融</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07802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采购管理与库存控制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采购与库存控制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张晓华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华中科技大学出版社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07824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语文教育学导论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小学语文新课程教学法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倪文锦等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07961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工程数学（一）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概率论/线性代数/积分变换</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同济/同济/南京大学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1989年5月第3版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08018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历代应用文选读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历代文书选读</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剑奇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湖北科技出版社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08019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理财学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现代企业理财学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尹书亭</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复旦大学出版社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08020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商务秘书学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商务文秘教程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刘翔飞</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中南工业大学出版社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1995</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08021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传播与广告</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广告原理与方法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陈培爱</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厦门大学出版社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2007年10月第4版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319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08022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秘书外事管理实务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涉外秘书学纲要</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杨剑宇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2007年3月第1版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08114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财务管理学（一）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财务管理学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牟小容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08262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房地产开发与经营</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房地产开发与经营</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孔凡文、何红</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大连理工大学出版社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2012年7月第3版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08263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工程经济学与项目融资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工程经济学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刘晓君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08310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会计电算化</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会计信息系统</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张瑞君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08413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数据库原理与应用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数据库原理与应用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蔡延光等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08518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汽车安全检测技术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机动车检验技术与检验报告填制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戴晓锋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08591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金融营销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金融营销学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陆剑清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08592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房地产投资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房地产投资分析（第四版）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刘秋雁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东北财经大学出版社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2014年3月第4版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08674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计算机网络基础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计算机网络技术与应用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乔正洪、葛武滇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329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08816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现代企业管理信息系统</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企业管理信息系统</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高波、黄兰秋、奉国和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08819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企业管理咨询与诊断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企业管理咨询与诊断</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吴忠培、李腾飞、彭连清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08878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动漫产业概论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动漫产业</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谭玲、殷俊</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四川大学出版社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08881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动画编导基础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动画编导基础教程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袁晓黎等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09235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设计原理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设计概论（第二版）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邱景源、江滨</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2012年8月第二版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09393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化工仪表及自动化</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化工仪表及自动化（第五版）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厉玉鸣</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2011年7月第5版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09413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项目管理概论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项目管理教程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骆珣等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10100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英国文学选读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英国文学史及选读（1、2册）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吴伟仁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外语教学与研究出版社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1988年12月第1版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10101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美国文学选读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美国文学史及选读（第一、二册）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吴伟仁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外语教学与研究出版社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1990年8月第2版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10177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设计艺术鉴赏</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焦成根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湖南大学出版社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339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客户服务管理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客户服务管理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曹宗平、罗燕、叶小梅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电子商务运营管理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电子商务运营管理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邓顺国、余以胜、姚若辉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销售业务管理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销售业务管理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何晓兵、叶小梅、潘国斌</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资本运营与融资</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资本运营理论与实务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林勇、李增福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企业内部控制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企业内部控制</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聂新军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团队管理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团队管理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纪志明、刘汉辉、孙高洁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10427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项目人力资源与沟通管理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项目组织与人力资源管理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丁荣贵、孙涛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2009年1月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10488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班级管理学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班级管理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李学农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2004年8月第1版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现代学校人力资源管理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现代学校人力资源管理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易凌峰、李伟涛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天津教育出版社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10490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教育财政学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教育财政学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廖楚晖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349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10876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英美报刊选读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美英报刊阅读教程（第3版）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端木义万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11123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社会体育学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中国体育社会学（修订本）</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卢元镇</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北京体育大学出版社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2000.5二版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11330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设计学概论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尹定邦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湖南科学技术出版社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国际旅游学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国际旅游发展导论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罗明义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民间文学概论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民间文学教程（第二版）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刘守华、陈建宪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华中师范大学出版社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2009年6月第2版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旅游会计学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旅游饮食服务业会计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丁元霖</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立信会计出版社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中国近代文学史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中国近代文学发展史（上、下）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管林等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中国文联出版社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文体写作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文体写作</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陈佳民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近代汉语</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近代汉语概论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袁滨</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1992年6月第1版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唐诗宋词研究</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唐诗宋词概说</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陈新璋</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广东人民出版社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359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11348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商标管理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商标法学教程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胡开忠</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中国人民大学出版社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11350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基础写作/基础写作文选</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刘孟宇、诸孝正</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暨南大学出版社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1989年8月第1版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财税史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简明中国财税史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郭小东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体育科研方法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体育科学研究方法</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杨迺军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广东高教出版社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tLeast"/>
              <w:jc w:val="center"/>
              <w:rPr>
                <w:rFonts w:eastAsia="等线"/>
                <w:b/>
                <w:color w:val="FF0000"/>
                <w:sz w:val="16"/>
                <w:szCs w:val="16"/>
              </w:rPr>
            </w:pP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11399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面向对象数据库技术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Visual Foxpro 6.0数据库与程序设计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卢湘鸿</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电子工业出版社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2003年1月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11403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中国旅游文学作品选</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古代旅游文学作品选读</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冯乃康</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11404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旅游饭店设备管理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旅游饭店设备管理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沈桂林</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广东旅游出版社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2000.7</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11405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美食与菜系</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美食</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沈石南等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上海辞书出版社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tLeast"/>
              <w:jc w:val="center"/>
              <w:rPr>
                <w:rFonts w:eastAsia="等线"/>
                <w:color w:val="000000"/>
                <w:sz w:val="16"/>
                <w:szCs w:val="16"/>
              </w:rPr>
            </w:pP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11406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旅游资源开发与环境保护</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旅游资源开发与利用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王德刚等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山东大学出版社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11416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翻译</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翻译新概念 英汉互译使用教程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宋天锡</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国防工业出版社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2003年第二版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369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和声学（二）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和声学基础教程[下]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谢功成</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人民音乐出版社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外国音乐史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西方音乐史略</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李应华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人民音乐出版社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1988年10月第1版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音乐作品欣赏（二）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音乐欣赏讲话[下]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钱仁康</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人民音乐出版社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1984年4月第1版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11423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复调音乐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复调写作及复调音乐分析</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王安国</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当代出版社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1994年12月第1版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11427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歌曲作法（二）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二部歌曲写作基本技巧</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曾理中、董忠良</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人民音乐出版社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1982年3月第1版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11465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现代公司管理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现代公司管理（第四版）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董伍伦、李强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经济科学出版社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11466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现代企业人力资源管理概论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人力资源管理概论（第3版）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谌新民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11467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人力资源统计学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企业人力资源统计学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程振源、李军华</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11468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工作岗位研究原理与应用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工作分析：理论、方法与应用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李强</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2015年版4月第1版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11469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宏观劳动力配置</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宏观劳动力配置</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张建武、朱琪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2006年8月第1版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379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11470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国际劳务合作和海外就业</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国际劳动力市场与海外就业</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曹宗平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科学出版社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2015年版6月第1版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11471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劳动争议处理概论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劳动争议处理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罗燕</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中国劳动社会保障出版社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2005年9月第1版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11485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中学教育学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中学教育学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叶上雄</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1993年11月第1版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11486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中学心理学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陈安福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1993年10月第1版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11487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基础英语（一）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新编英语教程[修订本](1、2册)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李观仪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1998年11月第2版</w:t>
            </w:r>
            <w:r>
              <w:rPr>
                <w:rFonts w:eastAsia="等线"/>
                <w:color w:val="000000"/>
                <w:kern w:val="0"/>
                <w:sz w:val="16"/>
                <w:szCs w:val="16"/>
              </w:rPr>
              <w:br w:type="textWrapping"/>
            </w:r>
            <w:r>
              <w:rPr>
                <w:rFonts w:eastAsia="等线"/>
                <w:color w:val="000000"/>
                <w:kern w:val="0"/>
                <w:sz w:val="16"/>
                <w:szCs w:val="16"/>
              </w:rPr>
              <w:t>1999年6月第2版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11488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基础英语（二）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新编英语教程[修订本](3册)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李观仪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11489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基础英语（三）</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新编英语教程[修订本](4册)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李观仪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现代汉语（一）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现代汉语(增订二版)(上)</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黄伯荣、廖序东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现代汉语（二）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现代汉语(增订二版)（下）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黄伯荣、廖序东</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1997年7月第2版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古代汉语（一）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古代汉语（上）</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郭锡良等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语文出版社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2000年3月第2版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389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古代汉语（二）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古代汉语（下）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郭锡良等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语文出版社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2000年3月第2版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中小学语文教材教法</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语文教学论</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黄绮华、李求真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新世纪出版社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1996年5月第1版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高级英语(二)</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新编英语教程（第6册）修订版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李观仪</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11499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英语论文写作</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英语写作手册（中文版）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丁往道等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外语教学与研究出版社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1997年6月第1版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11500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外语教学心理学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外语教学心理学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朱纯</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上海外语教育出版社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1994年9月第1版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11501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中国当代文学史</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中国当代文学史</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陈其光等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广东高教出版社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1992年11月第1版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11505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电力工程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工厂供电</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同济大学</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建筑工业出版社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tLeast"/>
              <w:jc w:val="center"/>
              <w:rPr>
                <w:rFonts w:eastAsia="等线"/>
                <w:b/>
                <w:color w:val="FF0000"/>
                <w:sz w:val="16"/>
                <w:szCs w:val="16"/>
              </w:rPr>
            </w:pP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11506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旅游饭店财务管理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旅游饭店财务管理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徐虹</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南开大学出版社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1996年3月第1版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11508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自动控制理论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自动控制原理（第3版）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孙炳达等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2011年7月第3版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11514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电器与可编程控制器技术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电器与可编程控制器应用技术</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邓则名</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机械工业出版社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1999年5月第1版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399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11516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国际商务谈判实务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现代国际商务谈判实务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邹建华等</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中山大学出版社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2000.11第1版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11520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秘书事务管理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职业秘书办公室综合事务管理教程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金常德、覃一静</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清华大学出版社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11599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国际商务法律</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国际商务法律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董新民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中国时代经济出版社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2000.12北京第2版</w:t>
            </w:r>
          </w:p>
        </w:tc>
      </w:tr>
      <w:tr>
        <w:tblPrEx>
          <w:tblLayout w:type="fixed"/>
          <w:tblCellMar>
            <w:top w:w="15" w:type="dxa"/>
            <w:left w:w="15" w:type="dxa"/>
            <w:bottom w:w="15" w:type="dxa"/>
            <w:right w:w="15" w:type="dxa"/>
          </w:tblCellMar>
        </w:tblPrEx>
        <w:trPr>
          <w:trHeight w:val="294"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11600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日语综合技能（一）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(本专业日语课程所有教材)新编日汉翻译教程</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庞春兰</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市场与市场营销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市场与市场营销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陶晓波编译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商务沟通方法与技能</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商务沟通方法与技能</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张灿鹏编译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企业组织与经营环境</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企业组织与经营环境</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高红岩编译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会计原理与实务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会计原理与实务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袁蓉丽编译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战略管理与伦理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战略管理与伦理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赵书华、臧维、娄梅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国际商务与国际营销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国际商务与国际营销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张运来、宋艳红编译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409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管理学与人力资源管理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管理学与人力资源管理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李业昆 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商务运营管理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商务运营管理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陈运涛编译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11749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商务管理综合应用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商务管理综合应用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杨丽编译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2011年11月第1版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11750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国际商务金融</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国际商务金融</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董瑾、刘岭</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2011年4月第1版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11751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企业成本管理会计</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企业成本管理会计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尹美群编译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2010年9月第1版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11752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管理数量方法与分析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管理数量方法与分析</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兰新梅</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2011年5月第1版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11753</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金融管理综合应用</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金融管理综合应用</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黄桂芝、陶晓波编译</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中国财政经济出版社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2012年5月第1版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化学品安全管理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危险化学品安全技术与管理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蒋军成</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2014年8月第2版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12314</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化工机械基础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化工过程设备机械基础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李多民、俞惠敏</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中国石化出版社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12315</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石油化工工艺学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化学工艺学（第二版）</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米镇涛</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2014年6月第2版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419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12319</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化工产品检测技术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化工产品质量检验</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王光明、范跃</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中国计量出版社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2008年版8月第1版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12326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金融理财分析技术与技巧</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金融投资分析技术与技巧</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欧阳莹、章劼</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复旦大学出版社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2015年8月第1版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421</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12327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金融理财规划</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金融理财规划</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王庆仁</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复旦大学出版社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2010年7月第一版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422</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18956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法律事务管理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现代企业法律事务管理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徐士英</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文汇出版社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2002.7一版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423</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18960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礼仪学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现代礼仪学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黄士平</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武汉测绘科技大学</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1995年10月第1版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424</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18961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财务管理与会计基础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企业财务会计</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居维纲</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北京大学出版社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1998年12第1版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425</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12316</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高分子化工基础</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高分子科学基础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梁晖、卢江</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化学工业出版社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2013年3月第1版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426</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12317</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精细有机合成化学与工艺学</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精细有机合成化学及工艺学</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唐培堃</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天津大学出版社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2002年9月第2版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427</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12318</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加油加气站设计与管理</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加油加气站设计与技术管理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樊宝德、朱焕勤</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中国石化出版社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2014年2月第1版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428</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12320</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石油储运概论</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石油储运基础知识</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吴世逵</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中国石化出版社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2013年7月第1版</w:t>
            </w:r>
          </w:p>
        </w:tc>
      </w:tr>
      <w:tr>
        <w:tblPrEx>
          <w:tblLayout w:type="fixed"/>
          <w:tblCellMar>
            <w:top w:w="15" w:type="dxa"/>
            <w:left w:w="15" w:type="dxa"/>
            <w:bottom w:w="15" w:type="dxa"/>
            <w:right w:w="15" w:type="dxa"/>
          </w:tblCellMar>
        </w:tblPrEx>
        <w:trPr>
          <w:trHeight w:val="156"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429</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12321</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石油产品应用技术</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石油产品应用技术基础</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黄克明、江禄森、莫桂娣</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广东高等教育出版社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2015年8月第1版</w:t>
            </w:r>
          </w:p>
        </w:tc>
      </w:tr>
      <w:tr>
        <w:tblPrEx>
          <w:tblLayout w:type="fixed"/>
          <w:tblCellMar>
            <w:top w:w="15" w:type="dxa"/>
            <w:left w:w="15" w:type="dxa"/>
            <w:bottom w:w="15" w:type="dxa"/>
            <w:right w:w="15" w:type="dxa"/>
          </w:tblCellMar>
        </w:tblPrEx>
        <w:trPr>
          <w:trHeight w:val="160"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430</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12322</w:t>
            </w:r>
          </w:p>
        </w:tc>
        <w:tc>
          <w:tcPr>
            <w:tcW w:w="2577"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腐蚀与防腐</w:t>
            </w:r>
          </w:p>
        </w:tc>
        <w:tc>
          <w:tcPr>
            <w:tcW w:w="2788"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油气管道腐蚀与防护</w:t>
            </w:r>
          </w:p>
        </w:tc>
        <w:tc>
          <w:tcPr>
            <w:tcW w:w="25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寇杰、梁法春、陈婧</w:t>
            </w:r>
          </w:p>
        </w:tc>
        <w:tc>
          <w:tcPr>
            <w:tcW w:w="2862"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中国石化出版社</w:t>
            </w:r>
          </w:p>
        </w:tc>
        <w:tc>
          <w:tcPr>
            <w:tcW w:w="228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line="240" w:lineRule="atLeast"/>
              <w:jc w:val="center"/>
              <w:textAlignment w:val="center"/>
              <w:rPr>
                <w:rFonts w:eastAsia="等线"/>
                <w:color w:val="000000"/>
                <w:sz w:val="16"/>
                <w:szCs w:val="16"/>
              </w:rPr>
            </w:pPr>
            <w:r>
              <w:rPr>
                <w:rFonts w:eastAsia="等线"/>
                <w:color w:val="000000"/>
                <w:kern w:val="0"/>
                <w:sz w:val="16"/>
                <w:szCs w:val="16"/>
              </w:rPr>
              <w:t>2014年1月第1版</w:t>
            </w:r>
          </w:p>
        </w:tc>
      </w:tr>
    </w:tbl>
    <w:p/>
    <w:p>
      <w:pPr>
        <w:widowControl/>
        <w:jc w:val="left"/>
        <w:textAlignment w:val="center"/>
        <w:rPr>
          <w:rFonts w:ascii="黑体" w:hAnsi="黑体" w:eastAsia="黑体" w:cs="黑体"/>
          <w:sz w:val="30"/>
          <w:szCs w:val="30"/>
        </w:rPr>
      </w:pPr>
    </w:p>
    <w:sectPr>
      <w:pgSz w:w="16838" w:h="11906" w:orient="landscape"/>
      <w:pgMar w:top="851" w:right="1247" w:bottom="567" w:left="1247" w:header="454" w:footer="22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微软雅黑 Light">
    <w:panose1 w:val="020B0502040204020203"/>
    <w:charset w:val="86"/>
    <w:family w:val="swiss"/>
    <w:pitch w:val="default"/>
    <w:sig w:usb0="80000287" w:usb1="2ACF001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OqXm5zwAAAAUBAAAPAAAAAAAAAAEAIAAAACIAAABkcnMvZG93bnJldi54bWxQSwECFAAUAAAA&#10;CACHTuJA0dqneL4BAABkAwAADgAAAAAAAAABACAAAAAeAQAAZHJzL2Uyb0RvYy54bWxQSwUGAAAA&#10;AAYABgBZAQAATg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5"/>
      </w:rPr>
    </w:pPr>
    <w:r>
      <w:rPr>
        <w:rStyle w:val="15"/>
      </w:rPr>
      <w:fldChar w:fldCharType="begin"/>
    </w:r>
    <w:r>
      <w:rPr>
        <w:rStyle w:val="15"/>
      </w:rPr>
      <w:instrText xml:space="preserve">PAGE  </w:instrText>
    </w:r>
    <w:r>
      <w:rPr>
        <w:rStyle w:val="15"/>
      </w:rPr>
      <w:fldChar w:fldCharType="separate"/>
    </w:r>
    <w:r>
      <w:rPr>
        <w:rStyle w:val="15"/>
      </w:rPr>
      <w:t>- 21 -</w: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55"/>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F81"/>
    <w:rsid w:val="000148AB"/>
    <w:rsid w:val="00022BE3"/>
    <w:rsid w:val="0002415A"/>
    <w:rsid w:val="00024B60"/>
    <w:rsid w:val="0003340F"/>
    <w:rsid w:val="00040D69"/>
    <w:rsid w:val="00052016"/>
    <w:rsid w:val="000711BB"/>
    <w:rsid w:val="00072983"/>
    <w:rsid w:val="00082AF8"/>
    <w:rsid w:val="0008406D"/>
    <w:rsid w:val="000A5A2C"/>
    <w:rsid w:val="000B2170"/>
    <w:rsid w:val="000B50F4"/>
    <w:rsid w:val="000B5492"/>
    <w:rsid w:val="000C2B1A"/>
    <w:rsid w:val="000E4914"/>
    <w:rsid w:val="000E4953"/>
    <w:rsid w:val="000E6B24"/>
    <w:rsid w:val="000E7573"/>
    <w:rsid w:val="000F0C2F"/>
    <w:rsid w:val="0010690C"/>
    <w:rsid w:val="00112087"/>
    <w:rsid w:val="0011676E"/>
    <w:rsid w:val="001210A5"/>
    <w:rsid w:val="00134599"/>
    <w:rsid w:val="001558F2"/>
    <w:rsid w:val="0016715B"/>
    <w:rsid w:val="001709B9"/>
    <w:rsid w:val="00174553"/>
    <w:rsid w:val="001750E7"/>
    <w:rsid w:val="00176793"/>
    <w:rsid w:val="00181DF6"/>
    <w:rsid w:val="00181EEB"/>
    <w:rsid w:val="001833D2"/>
    <w:rsid w:val="001875B8"/>
    <w:rsid w:val="001923E0"/>
    <w:rsid w:val="001A15F9"/>
    <w:rsid w:val="001A2E70"/>
    <w:rsid w:val="001A3A37"/>
    <w:rsid w:val="001B2E7B"/>
    <w:rsid w:val="001B6692"/>
    <w:rsid w:val="001B6BFF"/>
    <w:rsid w:val="001C2E0D"/>
    <w:rsid w:val="001C4C4E"/>
    <w:rsid w:val="001D1A1C"/>
    <w:rsid w:val="001E2A93"/>
    <w:rsid w:val="001F3094"/>
    <w:rsid w:val="001F7360"/>
    <w:rsid w:val="00204049"/>
    <w:rsid w:val="00216423"/>
    <w:rsid w:val="00221462"/>
    <w:rsid w:val="00221639"/>
    <w:rsid w:val="00222881"/>
    <w:rsid w:val="002317EF"/>
    <w:rsid w:val="002540F4"/>
    <w:rsid w:val="002716A8"/>
    <w:rsid w:val="00272404"/>
    <w:rsid w:val="00272A17"/>
    <w:rsid w:val="00273454"/>
    <w:rsid w:val="00273B50"/>
    <w:rsid w:val="0027727D"/>
    <w:rsid w:val="00281634"/>
    <w:rsid w:val="00284033"/>
    <w:rsid w:val="00296341"/>
    <w:rsid w:val="002B0743"/>
    <w:rsid w:val="002B0EE0"/>
    <w:rsid w:val="002C612A"/>
    <w:rsid w:val="002D0E02"/>
    <w:rsid w:val="002D3B7F"/>
    <w:rsid w:val="002F4819"/>
    <w:rsid w:val="00301A03"/>
    <w:rsid w:val="00302FB6"/>
    <w:rsid w:val="00304A66"/>
    <w:rsid w:val="00304C63"/>
    <w:rsid w:val="00306297"/>
    <w:rsid w:val="00312489"/>
    <w:rsid w:val="00313B28"/>
    <w:rsid w:val="00317C3F"/>
    <w:rsid w:val="003267BC"/>
    <w:rsid w:val="003311CA"/>
    <w:rsid w:val="00333D99"/>
    <w:rsid w:val="00335F6C"/>
    <w:rsid w:val="003527F2"/>
    <w:rsid w:val="00356AA3"/>
    <w:rsid w:val="00364C33"/>
    <w:rsid w:val="003678F6"/>
    <w:rsid w:val="00383B15"/>
    <w:rsid w:val="00385285"/>
    <w:rsid w:val="00393B85"/>
    <w:rsid w:val="003946B0"/>
    <w:rsid w:val="003955E1"/>
    <w:rsid w:val="003A6B29"/>
    <w:rsid w:val="003A7361"/>
    <w:rsid w:val="003A7B4D"/>
    <w:rsid w:val="003B40BE"/>
    <w:rsid w:val="003B73E2"/>
    <w:rsid w:val="003D0102"/>
    <w:rsid w:val="003D10C9"/>
    <w:rsid w:val="003D32EF"/>
    <w:rsid w:val="003D417A"/>
    <w:rsid w:val="003D443D"/>
    <w:rsid w:val="003D6F6F"/>
    <w:rsid w:val="003E7C25"/>
    <w:rsid w:val="003F45D8"/>
    <w:rsid w:val="00401D7E"/>
    <w:rsid w:val="00417856"/>
    <w:rsid w:val="00424994"/>
    <w:rsid w:val="00430E4E"/>
    <w:rsid w:val="004344A5"/>
    <w:rsid w:val="00441E4D"/>
    <w:rsid w:val="00462009"/>
    <w:rsid w:val="004633BC"/>
    <w:rsid w:val="00475117"/>
    <w:rsid w:val="00483611"/>
    <w:rsid w:val="00486784"/>
    <w:rsid w:val="00490F81"/>
    <w:rsid w:val="00491684"/>
    <w:rsid w:val="004A1FD4"/>
    <w:rsid w:val="004B203B"/>
    <w:rsid w:val="004C7E44"/>
    <w:rsid w:val="004D6A11"/>
    <w:rsid w:val="004F1350"/>
    <w:rsid w:val="00506FC9"/>
    <w:rsid w:val="00534A61"/>
    <w:rsid w:val="00545F20"/>
    <w:rsid w:val="0054624A"/>
    <w:rsid w:val="00550FA0"/>
    <w:rsid w:val="00560EB2"/>
    <w:rsid w:val="005624F1"/>
    <w:rsid w:val="00567456"/>
    <w:rsid w:val="0056772D"/>
    <w:rsid w:val="00581B4A"/>
    <w:rsid w:val="00584C30"/>
    <w:rsid w:val="00595745"/>
    <w:rsid w:val="005A092F"/>
    <w:rsid w:val="005A64FE"/>
    <w:rsid w:val="005A7293"/>
    <w:rsid w:val="005B242F"/>
    <w:rsid w:val="005B5CAB"/>
    <w:rsid w:val="005C14D3"/>
    <w:rsid w:val="005D6571"/>
    <w:rsid w:val="005E02C5"/>
    <w:rsid w:val="005E23F6"/>
    <w:rsid w:val="005E2B03"/>
    <w:rsid w:val="006162AC"/>
    <w:rsid w:val="00617702"/>
    <w:rsid w:val="0064003D"/>
    <w:rsid w:val="006408E2"/>
    <w:rsid w:val="006435DE"/>
    <w:rsid w:val="00643730"/>
    <w:rsid w:val="00647120"/>
    <w:rsid w:val="00655890"/>
    <w:rsid w:val="0066586C"/>
    <w:rsid w:val="00667720"/>
    <w:rsid w:val="00672D42"/>
    <w:rsid w:val="006814AF"/>
    <w:rsid w:val="006864E5"/>
    <w:rsid w:val="006A4188"/>
    <w:rsid w:val="006B372B"/>
    <w:rsid w:val="006C7CAC"/>
    <w:rsid w:val="006D2C44"/>
    <w:rsid w:val="006E4417"/>
    <w:rsid w:val="006F5EAE"/>
    <w:rsid w:val="007040DE"/>
    <w:rsid w:val="0071364F"/>
    <w:rsid w:val="00716DBC"/>
    <w:rsid w:val="007256D4"/>
    <w:rsid w:val="0073574B"/>
    <w:rsid w:val="0076071D"/>
    <w:rsid w:val="0076132A"/>
    <w:rsid w:val="00761E3B"/>
    <w:rsid w:val="00762BEC"/>
    <w:rsid w:val="007803DD"/>
    <w:rsid w:val="00783571"/>
    <w:rsid w:val="00791A3E"/>
    <w:rsid w:val="00792A68"/>
    <w:rsid w:val="00796244"/>
    <w:rsid w:val="007B1620"/>
    <w:rsid w:val="007B39BB"/>
    <w:rsid w:val="007C0684"/>
    <w:rsid w:val="007C0A14"/>
    <w:rsid w:val="007C6330"/>
    <w:rsid w:val="007F0C61"/>
    <w:rsid w:val="007F1C87"/>
    <w:rsid w:val="007F613F"/>
    <w:rsid w:val="008028A0"/>
    <w:rsid w:val="00810328"/>
    <w:rsid w:val="008315ED"/>
    <w:rsid w:val="00833DDD"/>
    <w:rsid w:val="008349FF"/>
    <w:rsid w:val="00835588"/>
    <w:rsid w:val="00837534"/>
    <w:rsid w:val="00840AEB"/>
    <w:rsid w:val="00840BC3"/>
    <w:rsid w:val="008418F1"/>
    <w:rsid w:val="008419A2"/>
    <w:rsid w:val="0084351E"/>
    <w:rsid w:val="008459A6"/>
    <w:rsid w:val="00850CA1"/>
    <w:rsid w:val="00851639"/>
    <w:rsid w:val="00863B46"/>
    <w:rsid w:val="00870AEF"/>
    <w:rsid w:val="00886F45"/>
    <w:rsid w:val="00890AC6"/>
    <w:rsid w:val="008948A0"/>
    <w:rsid w:val="008A226E"/>
    <w:rsid w:val="008B5CD1"/>
    <w:rsid w:val="008B5CDC"/>
    <w:rsid w:val="008B611E"/>
    <w:rsid w:val="008D2451"/>
    <w:rsid w:val="008D69B6"/>
    <w:rsid w:val="008D713E"/>
    <w:rsid w:val="008E2195"/>
    <w:rsid w:val="008E27D3"/>
    <w:rsid w:val="008F2140"/>
    <w:rsid w:val="0090077E"/>
    <w:rsid w:val="0090623C"/>
    <w:rsid w:val="00915E4D"/>
    <w:rsid w:val="00927A58"/>
    <w:rsid w:val="009308BC"/>
    <w:rsid w:val="009416CF"/>
    <w:rsid w:val="00941948"/>
    <w:rsid w:val="00944921"/>
    <w:rsid w:val="009557E4"/>
    <w:rsid w:val="00963FD7"/>
    <w:rsid w:val="00964387"/>
    <w:rsid w:val="009768C8"/>
    <w:rsid w:val="00981A7E"/>
    <w:rsid w:val="00992A18"/>
    <w:rsid w:val="00993BC4"/>
    <w:rsid w:val="009A1909"/>
    <w:rsid w:val="009A4F75"/>
    <w:rsid w:val="009B2FBA"/>
    <w:rsid w:val="009B6857"/>
    <w:rsid w:val="009C038E"/>
    <w:rsid w:val="009C05BB"/>
    <w:rsid w:val="009C2F37"/>
    <w:rsid w:val="009C7B94"/>
    <w:rsid w:val="009D03CF"/>
    <w:rsid w:val="009D6168"/>
    <w:rsid w:val="009E02F1"/>
    <w:rsid w:val="009E187B"/>
    <w:rsid w:val="009E2387"/>
    <w:rsid w:val="00A0193B"/>
    <w:rsid w:val="00A01B53"/>
    <w:rsid w:val="00A03A02"/>
    <w:rsid w:val="00A12855"/>
    <w:rsid w:val="00A325CF"/>
    <w:rsid w:val="00A460B3"/>
    <w:rsid w:val="00A51567"/>
    <w:rsid w:val="00A53684"/>
    <w:rsid w:val="00A5384F"/>
    <w:rsid w:val="00A5599F"/>
    <w:rsid w:val="00A569DC"/>
    <w:rsid w:val="00A620D4"/>
    <w:rsid w:val="00A7632D"/>
    <w:rsid w:val="00A81996"/>
    <w:rsid w:val="00A87779"/>
    <w:rsid w:val="00A94B6B"/>
    <w:rsid w:val="00AA0B4D"/>
    <w:rsid w:val="00AC1661"/>
    <w:rsid w:val="00AC35AD"/>
    <w:rsid w:val="00AC4557"/>
    <w:rsid w:val="00AC46E2"/>
    <w:rsid w:val="00AD5B59"/>
    <w:rsid w:val="00AD6887"/>
    <w:rsid w:val="00AD6AD3"/>
    <w:rsid w:val="00AE4306"/>
    <w:rsid w:val="00AF1A6C"/>
    <w:rsid w:val="00B0061C"/>
    <w:rsid w:val="00B0761A"/>
    <w:rsid w:val="00B14895"/>
    <w:rsid w:val="00B30649"/>
    <w:rsid w:val="00B35AF7"/>
    <w:rsid w:val="00B46DEC"/>
    <w:rsid w:val="00B47D84"/>
    <w:rsid w:val="00B562C2"/>
    <w:rsid w:val="00B604A5"/>
    <w:rsid w:val="00B659E0"/>
    <w:rsid w:val="00B80CD8"/>
    <w:rsid w:val="00B82831"/>
    <w:rsid w:val="00B856E4"/>
    <w:rsid w:val="00B85B32"/>
    <w:rsid w:val="00B97863"/>
    <w:rsid w:val="00BB02A6"/>
    <w:rsid w:val="00BB2B72"/>
    <w:rsid w:val="00BC394D"/>
    <w:rsid w:val="00BC66C1"/>
    <w:rsid w:val="00BD137E"/>
    <w:rsid w:val="00BF59B5"/>
    <w:rsid w:val="00C00106"/>
    <w:rsid w:val="00C11867"/>
    <w:rsid w:val="00C16939"/>
    <w:rsid w:val="00C21F0C"/>
    <w:rsid w:val="00C25151"/>
    <w:rsid w:val="00C550EC"/>
    <w:rsid w:val="00C6133D"/>
    <w:rsid w:val="00C65514"/>
    <w:rsid w:val="00C7142A"/>
    <w:rsid w:val="00C72961"/>
    <w:rsid w:val="00C74473"/>
    <w:rsid w:val="00C83733"/>
    <w:rsid w:val="00C87A41"/>
    <w:rsid w:val="00CB36E2"/>
    <w:rsid w:val="00CB6758"/>
    <w:rsid w:val="00CC062C"/>
    <w:rsid w:val="00CC17F1"/>
    <w:rsid w:val="00CC769A"/>
    <w:rsid w:val="00CF30F1"/>
    <w:rsid w:val="00D11588"/>
    <w:rsid w:val="00D12BD8"/>
    <w:rsid w:val="00D20133"/>
    <w:rsid w:val="00D45CEA"/>
    <w:rsid w:val="00D47EA3"/>
    <w:rsid w:val="00D519D8"/>
    <w:rsid w:val="00D73895"/>
    <w:rsid w:val="00D810B2"/>
    <w:rsid w:val="00D81AF5"/>
    <w:rsid w:val="00D829AF"/>
    <w:rsid w:val="00D90180"/>
    <w:rsid w:val="00D920CD"/>
    <w:rsid w:val="00D93547"/>
    <w:rsid w:val="00D94A17"/>
    <w:rsid w:val="00DA30AC"/>
    <w:rsid w:val="00DC15A7"/>
    <w:rsid w:val="00DC196A"/>
    <w:rsid w:val="00DC2B75"/>
    <w:rsid w:val="00DC3425"/>
    <w:rsid w:val="00DD04AE"/>
    <w:rsid w:val="00DD0A61"/>
    <w:rsid w:val="00E014F6"/>
    <w:rsid w:val="00E03548"/>
    <w:rsid w:val="00E06B0E"/>
    <w:rsid w:val="00E11ECF"/>
    <w:rsid w:val="00E14C8F"/>
    <w:rsid w:val="00E17766"/>
    <w:rsid w:val="00E20379"/>
    <w:rsid w:val="00E37065"/>
    <w:rsid w:val="00E43D2D"/>
    <w:rsid w:val="00E4450D"/>
    <w:rsid w:val="00E46F31"/>
    <w:rsid w:val="00E60734"/>
    <w:rsid w:val="00E64893"/>
    <w:rsid w:val="00E65759"/>
    <w:rsid w:val="00E74573"/>
    <w:rsid w:val="00E7730A"/>
    <w:rsid w:val="00E8273F"/>
    <w:rsid w:val="00E94395"/>
    <w:rsid w:val="00EB4681"/>
    <w:rsid w:val="00F00CC7"/>
    <w:rsid w:val="00F168B1"/>
    <w:rsid w:val="00F265A5"/>
    <w:rsid w:val="00F356BD"/>
    <w:rsid w:val="00F51B87"/>
    <w:rsid w:val="00F55CFC"/>
    <w:rsid w:val="00F56B40"/>
    <w:rsid w:val="00F66B22"/>
    <w:rsid w:val="00F66CD9"/>
    <w:rsid w:val="00F74FF4"/>
    <w:rsid w:val="00F758EF"/>
    <w:rsid w:val="00F8352A"/>
    <w:rsid w:val="00F9049F"/>
    <w:rsid w:val="00F94967"/>
    <w:rsid w:val="00F97DC2"/>
    <w:rsid w:val="00FA4996"/>
    <w:rsid w:val="00FE3CFB"/>
    <w:rsid w:val="2D9C6A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7"/>
    <w:qFormat/>
    <w:uiPriority w:val="0"/>
    <w:pPr>
      <w:keepNext/>
      <w:keepLines/>
      <w:spacing w:before="260" w:after="260" w:line="416" w:lineRule="auto"/>
      <w:outlineLvl w:val="1"/>
    </w:pPr>
    <w:rPr>
      <w:rFonts w:ascii="Cambria" w:hAnsi="Cambria"/>
      <w:b/>
      <w:bCs/>
      <w:sz w:val="32"/>
      <w:szCs w:val="32"/>
    </w:rPr>
  </w:style>
  <w:style w:type="paragraph" w:styleId="3">
    <w:name w:val="heading 3"/>
    <w:basedOn w:val="1"/>
    <w:next w:val="1"/>
    <w:link w:val="31"/>
    <w:qFormat/>
    <w:uiPriority w:val="0"/>
    <w:pPr>
      <w:spacing w:beforeAutospacing="1" w:afterAutospacing="1"/>
      <w:jc w:val="left"/>
      <w:outlineLvl w:val="2"/>
    </w:pPr>
    <w:rPr>
      <w:rFonts w:hint="eastAsia" w:ascii="宋体" w:hAnsi="宋体"/>
      <w:kern w:val="0"/>
      <w:sz w:val="24"/>
    </w:rPr>
  </w:style>
  <w:style w:type="character" w:default="1" w:styleId="13">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Body Text Indent"/>
    <w:basedOn w:val="1"/>
    <w:uiPriority w:val="0"/>
    <w:pPr>
      <w:ind w:firstLine="560" w:firstLineChars="200"/>
    </w:pPr>
    <w:rPr>
      <w:sz w:val="28"/>
    </w:rPr>
  </w:style>
  <w:style w:type="paragraph" w:styleId="5">
    <w:name w:val="Plain Text"/>
    <w:basedOn w:val="1"/>
    <w:uiPriority w:val="0"/>
    <w:rPr>
      <w:rFonts w:ascii="宋体" w:hAnsi="Courier New"/>
      <w:szCs w:val="20"/>
    </w:rPr>
  </w:style>
  <w:style w:type="paragraph" w:styleId="6">
    <w:name w:val="Date"/>
    <w:basedOn w:val="1"/>
    <w:next w:val="1"/>
    <w:qFormat/>
    <w:uiPriority w:val="0"/>
    <w:pPr>
      <w:ind w:left="100" w:leftChars="2500"/>
    </w:pPr>
  </w:style>
  <w:style w:type="paragraph" w:styleId="7">
    <w:name w:val="Balloon Text"/>
    <w:basedOn w:val="1"/>
    <w:link w:val="28"/>
    <w:uiPriority w:val="0"/>
    <w:rPr>
      <w:sz w:val="18"/>
      <w:szCs w:val="18"/>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0"/>
    <w:pPr>
      <w:spacing w:beforeAutospacing="1" w:afterAutospacing="1"/>
      <w:jc w:val="left"/>
    </w:pPr>
    <w:rPr>
      <w:rFonts w:ascii="Calibri" w:hAnsi="Calibri"/>
      <w:kern w:val="0"/>
      <w:sz w:val="24"/>
    </w:rPr>
  </w:style>
  <w:style w:type="table" w:styleId="12">
    <w:name w:val="Table Grid"/>
    <w:basedOn w:val="1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Strong"/>
    <w:qFormat/>
    <w:uiPriority w:val="0"/>
    <w:rPr>
      <w:b/>
      <w:bCs/>
    </w:rPr>
  </w:style>
  <w:style w:type="character" w:styleId="15">
    <w:name w:val="page number"/>
    <w:basedOn w:val="13"/>
    <w:uiPriority w:val="0"/>
  </w:style>
  <w:style w:type="character" w:styleId="16">
    <w:name w:val="Hyperlink"/>
    <w:qFormat/>
    <w:uiPriority w:val="0"/>
    <w:rPr>
      <w:rFonts w:hint="default"/>
      <w:color w:val="000000"/>
      <w:sz w:val="18"/>
      <w:szCs w:val="18"/>
      <w:u w:val="none"/>
    </w:rPr>
  </w:style>
  <w:style w:type="character" w:customStyle="1" w:styleId="17">
    <w:name w:val="标题 2 Char"/>
    <w:link w:val="2"/>
    <w:qFormat/>
    <w:uiPriority w:val="0"/>
    <w:rPr>
      <w:rFonts w:ascii="Cambria" w:hAnsi="Cambria" w:eastAsia="宋体"/>
      <w:b/>
      <w:bCs/>
      <w:kern w:val="2"/>
      <w:sz w:val="32"/>
      <w:szCs w:val="32"/>
      <w:lang w:val="en-US" w:eastAsia="zh-CN" w:bidi="ar-SA"/>
    </w:rPr>
  </w:style>
  <w:style w:type="character" w:customStyle="1" w:styleId="18">
    <w:name w:val="页脚 Char"/>
    <w:link w:val="8"/>
    <w:uiPriority w:val="99"/>
    <w:rPr>
      <w:rFonts w:eastAsia="宋体"/>
      <w:kern w:val="2"/>
      <w:sz w:val="18"/>
      <w:szCs w:val="18"/>
      <w:lang w:val="en-US" w:eastAsia="zh-CN" w:bidi="ar-SA"/>
    </w:rPr>
  </w:style>
  <w:style w:type="character" w:customStyle="1" w:styleId="19">
    <w:name w:val="页眉 Char"/>
    <w:link w:val="9"/>
    <w:uiPriority w:val="99"/>
    <w:rPr>
      <w:sz w:val="18"/>
      <w:szCs w:val="18"/>
      <w:lang w:bidi="ar-SA"/>
    </w:rPr>
  </w:style>
  <w:style w:type="character" w:customStyle="1" w:styleId="20">
    <w:name w:val="font11"/>
    <w:qFormat/>
    <w:uiPriority w:val="0"/>
    <w:rPr>
      <w:rFonts w:hint="eastAsia" w:ascii="宋体" w:hAnsi="宋体" w:eastAsia="宋体" w:cs="宋体"/>
      <w:color w:val="000000"/>
      <w:sz w:val="20"/>
      <w:szCs w:val="20"/>
      <w:u w:val="none"/>
    </w:rPr>
  </w:style>
  <w:style w:type="character" w:customStyle="1" w:styleId="21">
    <w:name w:val="font01"/>
    <w:qFormat/>
    <w:uiPriority w:val="0"/>
    <w:rPr>
      <w:rFonts w:hint="default" w:ascii="Arial" w:hAnsi="Arial" w:cs="Arial"/>
      <w:color w:val="000000"/>
      <w:sz w:val="20"/>
      <w:szCs w:val="20"/>
      <w:u w:val="none"/>
    </w:rPr>
  </w:style>
  <w:style w:type="character" w:customStyle="1" w:styleId="22">
    <w:name w:val="font21"/>
    <w:qFormat/>
    <w:uiPriority w:val="0"/>
    <w:rPr>
      <w:rFonts w:hint="eastAsia" w:ascii="宋体" w:hAnsi="宋体" w:eastAsia="宋体" w:cs="宋体"/>
      <w:color w:val="000000"/>
      <w:sz w:val="20"/>
      <w:szCs w:val="20"/>
      <w:u w:val="none"/>
    </w:rPr>
  </w:style>
  <w:style w:type="character" w:customStyle="1" w:styleId="23">
    <w:name w:val="font31"/>
    <w:qFormat/>
    <w:uiPriority w:val="0"/>
    <w:rPr>
      <w:rFonts w:hint="eastAsia" w:ascii="宋体" w:hAnsi="宋体" w:eastAsia="宋体" w:cs="宋体"/>
      <w:color w:val="000000"/>
      <w:sz w:val="20"/>
      <w:szCs w:val="20"/>
      <w:u w:val="none"/>
    </w:rPr>
  </w:style>
  <w:style w:type="character" w:customStyle="1" w:styleId="24">
    <w:name w:val="10"/>
    <w:qFormat/>
    <w:uiPriority w:val="0"/>
    <w:rPr>
      <w:rFonts w:hint="default" w:ascii="Times New Roman" w:hAnsi="Times New Roman" w:cs="Times New Roman"/>
    </w:rPr>
  </w:style>
  <w:style w:type="character" w:customStyle="1" w:styleId="25">
    <w:name w:val="15"/>
    <w:qFormat/>
    <w:uiPriority w:val="0"/>
    <w:rPr>
      <w:rFonts w:hint="eastAsia" w:ascii="宋体" w:hAnsi="宋体" w:eastAsia="宋体"/>
      <w:color w:val="000000"/>
      <w:sz w:val="20"/>
      <w:szCs w:val="20"/>
    </w:rPr>
  </w:style>
  <w:style w:type="character" w:customStyle="1" w:styleId="26">
    <w:name w:val="16"/>
    <w:qFormat/>
    <w:uiPriority w:val="0"/>
    <w:rPr>
      <w:rFonts w:hint="default" w:ascii="Arial" w:hAnsi="Arial" w:cs="Arial"/>
      <w:color w:val="000000"/>
      <w:sz w:val="20"/>
      <w:szCs w:val="20"/>
    </w:rPr>
  </w:style>
  <w:style w:type="character" w:customStyle="1" w:styleId="27">
    <w:name w:val="17"/>
    <w:qFormat/>
    <w:uiPriority w:val="0"/>
    <w:rPr>
      <w:rFonts w:hint="eastAsia" w:ascii="宋体" w:hAnsi="宋体" w:eastAsia="宋体"/>
      <w:color w:val="000000"/>
      <w:sz w:val="20"/>
      <w:szCs w:val="20"/>
    </w:rPr>
  </w:style>
  <w:style w:type="character" w:customStyle="1" w:styleId="28">
    <w:name w:val="批注框文本 Char"/>
    <w:link w:val="7"/>
    <w:qFormat/>
    <w:uiPriority w:val="0"/>
    <w:rPr>
      <w:kern w:val="2"/>
      <w:sz w:val="18"/>
      <w:szCs w:val="18"/>
    </w:rPr>
  </w:style>
  <w:style w:type="character" w:customStyle="1" w:styleId="29">
    <w:name w:val="font51"/>
    <w:qFormat/>
    <w:uiPriority w:val="0"/>
    <w:rPr>
      <w:rFonts w:hint="eastAsia" w:ascii="微软雅黑 Light" w:hAnsi="微软雅黑 Light" w:eastAsia="微软雅黑 Light" w:cs="微软雅黑 Light"/>
      <w:color w:val="000000"/>
      <w:sz w:val="18"/>
      <w:szCs w:val="18"/>
      <w:u w:val="none"/>
    </w:rPr>
  </w:style>
  <w:style w:type="paragraph" w:styleId="30">
    <w:name w:val="List Paragraph"/>
    <w:basedOn w:val="1"/>
    <w:unhideWhenUsed/>
    <w:qFormat/>
    <w:uiPriority w:val="99"/>
    <w:pPr>
      <w:ind w:firstLine="420" w:firstLineChars="200"/>
    </w:pPr>
    <w:rPr>
      <w:rFonts w:ascii="Calibri" w:hAnsi="Calibri"/>
    </w:rPr>
  </w:style>
  <w:style w:type="character" w:customStyle="1" w:styleId="31">
    <w:name w:val="标题 3 Char"/>
    <w:basedOn w:val="13"/>
    <w:link w:val="3"/>
    <w:qFormat/>
    <w:uiPriority w:val="0"/>
    <w:rPr>
      <w:rFonts w:ascii="宋体" w:hAnsi="宋体"/>
      <w:sz w:val="24"/>
      <w:szCs w:val="24"/>
    </w:rPr>
  </w:style>
  <w:style w:type="character" w:customStyle="1" w:styleId="32">
    <w:name w:val="font41"/>
    <w:qFormat/>
    <w:uiPriority w:val="0"/>
    <w:rPr>
      <w:rFonts w:hint="eastAsia" w:ascii="宋体" w:hAnsi="宋体" w:eastAsia="宋体" w:cs="宋体"/>
      <w:color w:val="000000"/>
      <w:sz w:val="20"/>
      <w:szCs w:val="20"/>
      <w:u w:val="none"/>
    </w:rPr>
  </w:style>
  <w:style w:type="paragraph" w:customStyle="1" w:styleId="33">
    <w:name w:val="BodyText1I2"/>
    <w:basedOn w:val="1"/>
    <w:next w:val="1"/>
    <w:qFormat/>
    <w:uiPriority w:val="0"/>
    <w:pPr>
      <w:spacing w:line="560" w:lineRule="exact"/>
      <w:ind w:firstLine="420" w:firstLineChars="200"/>
      <w:textAlignment w:val="baseline"/>
    </w:pPr>
    <w:rPr>
      <w:szCs w:val="32"/>
    </w:rPr>
  </w:style>
  <w:style w:type="paragraph" w:customStyle="1" w:styleId="34">
    <w:name w:val="列出段落1"/>
    <w:basedOn w:val="1"/>
    <w:qFormat/>
    <w:uiPriority w:val="34"/>
    <w:pPr>
      <w:ind w:firstLine="420" w:firstLineChars="200"/>
    </w:pPr>
    <w:rPr>
      <w:rFonts w:ascii="Calibri" w:hAnsi="Calibri" w:cs="宋体"/>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0FA745-D790-4243-9DDD-DCEB8080CCDD}">
  <ds:schemaRefs/>
</ds:datastoreItem>
</file>

<file path=docProps/app.xml><?xml version="1.0" encoding="utf-8"?>
<Properties xmlns="http://schemas.openxmlformats.org/officeDocument/2006/extended-properties" xmlns:vt="http://schemas.openxmlformats.org/officeDocument/2006/docPropsVTypes">
  <Template>Normal</Template>
  <Company>您的公司名</Company>
  <Pages>1</Pages>
  <Words>6139</Words>
  <Characters>34993</Characters>
  <Lines>291</Lines>
  <Paragraphs>82</Paragraphs>
  <TotalTime>4</TotalTime>
  <ScaleCrop>false</ScaleCrop>
  <LinksUpToDate>false</LinksUpToDate>
  <CharactersWithSpaces>41050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2020-02-21T02:11:00Z</dcterms:created>
  <dc:creator>ZhengRX</dc:creator>
  <cp:lastModifiedBy>STDJ</cp:lastModifiedBy>
  <cp:lastPrinted>2022-11-16T02:17:00Z</cp:lastPrinted>
  <dcterms:modified xsi:type="dcterms:W3CDTF">2022-11-16T09:40:41Z</dcterms:modified>
  <dc:title>汕头市二Ｏ一二年上半年高等教育自学考试</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